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3"/>
        </w:numPr>
      </w:pPr>
      <w:r>
        <w:rPr>
          <w:rFonts w:hint="eastAsia"/>
        </w:rPr>
        <w:t>项目目标</w:t>
      </w:r>
    </w:p>
    <w:p>
      <w:pPr>
        <w:ind w:firstLine="420"/>
      </w:pPr>
      <w:r>
        <w:rPr>
          <w:rFonts w:hint="eastAsia"/>
        </w:rPr>
        <w:t>本项目为网络安全设备软件和硬件维保服务，用于保障医院网络安全设备的业务连续性、稳定性和安全性，以及相关问题的应急处理。</w:t>
      </w:r>
    </w:p>
    <w:p>
      <w:pPr>
        <w:pStyle w:val="3"/>
        <w:numPr>
          <w:ilvl w:val="0"/>
          <w:numId w:val="3"/>
        </w:numPr>
      </w:pPr>
      <w:r>
        <w:rPr>
          <w:rFonts w:hint="eastAsia"/>
        </w:rPr>
        <w:t>项目内容</w:t>
      </w:r>
    </w:p>
    <w:p>
      <w:pPr>
        <w:numPr>
          <w:ilvl w:val="0"/>
          <w:numId w:val="4"/>
        </w:numPr>
        <w:spacing w:line="360" w:lineRule="auto"/>
        <w:rPr>
          <w:szCs w:val="21"/>
        </w:rPr>
      </w:pPr>
      <w:r>
        <w:rPr>
          <w:rFonts w:hint="eastAsia"/>
          <w:szCs w:val="21"/>
        </w:rPr>
        <w:t>BJCA系统及其关联设备软</w:t>
      </w:r>
      <w:r>
        <w:rPr>
          <w:szCs w:val="21"/>
        </w:rPr>
        <w:t>硬件</w:t>
      </w:r>
      <w:r>
        <w:rPr>
          <w:rFonts w:hint="eastAsia"/>
          <w:szCs w:val="21"/>
        </w:rPr>
        <w:t>7*24原厂</w:t>
      </w:r>
      <w:r>
        <w:rPr>
          <w:szCs w:val="21"/>
        </w:rPr>
        <w:t>维保</w:t>
      </w:r>
      <w:r>
        <w:rPr>
          <w:rFonts w:hint="eastAsia"/>
          <w:szCs w:val="21"/>
        </w:rPr>
        <w:t>及</w:t>
      </w:r>
      <w:r>
        <w:rPr>
          <w:szCs w:val="21"/>
        </w:rPr>
        <w:t>服务</w:t>
      </w:r>
      <w:r>
        <w:rPr>
          <w:rFonts w:hint="eastAsia"/>
          <w:szCs w:val="21"/>
        </w:rPr>
        <w:t xml:space="preserve"> </w:t>
      </w:r>
      <w:r>
        <w:rPr>
          <w:szCs w:val="21"/>
        </w:rPr>
        <w:t>1</w:t>
      </w:r>
      <w:r>
        <w:rPr>
          <w:rFonts w:hint="eastAsia"/>
          <w:szCs w:val="21"/>
        </w:rPr>
        <w:t>年</w:t>
      </w:r>
    </w:p>
    <w:p>
      <w:pPr>
        <w:numPr>
          <w:ilvl w:val="0"/>
          <w:numId w:val="4"/>
        </w:numPr>
        <w:spacing w:line="360" w:lineRule="auto"/>
        <w:rPr>
          <w:szCs w:val="21"/>
        </w:rPr>
      </w:pPr>
      <w:r>
        <w:rPr>
          <w:rFonts w:hint="eastAsia"/>
          <w:szCs w:val="21"/>
        </w:rPr>
        <w:t>绿盟远程安全评估系统V6.0系统及其关联设备软</w:t>
      </w:r>
      <w:r>
        <w:rPr>
          <w:szCs w:val="21"/>
        </w:rPr>
        <w:t>硬件</w:t>
      </w:r>
      <w:r>
        <w:rPr>
          <w:rFonts w:hint="eastAsia"/>
          <w:szCs w:val="21"/>
        </w:rPr>
        <w:t>7*24原厂</w:t>
      </w:r>
      <w:r>
        <w:rPr>
          <w:szCs w:val="21"/>
        </w:rPr>
        <w:t>维保</w:t>
      </w:r>
      <w:r>
        <w:rPr>
          <w:rFonts w:hint="eastAsia"/>
          <w:szCs w:val="21"/>
        </w:rPr>
        <w:t>及</w:t>
      </w:r>
      <w:r>
        <w:rPr>
          <w:szCs w:val="21"/>
        </w:rPr>
        <w:t>服务</w:t>
      </w:r>
      <w:r>
        <w:rPr>
          <w:rFonts w:hint="eastAsia"/>
          <w:szCs w:val="21"/>
        </w:rPr>
        <w:t xml:space="preserve"> </w:t>
      </w:r>
      <w:r>
        <w:rPr>
          <w:szCs w:val="21"/>
        </w:rPr>
        <w:t>1</w:t>
      </w:r>
      <w:r>
        <w:rPr>
          <w:rFonts w:hint="eastAsia"/>
          <w:szCs w:val="21"/>
        </w:rPr>
        <w:t>年</w:t>
      </w:r>
    </w:p>
    <w:p>
      <w:pPr>
        <w:numPr>
          <w:ilvl w:val="0"/>
          <w:numId w:val="4"/>
        </w:numPr>
        <w:spacing w:line="360" w:lineRule="auto"/>
        <w:rPr>
          <w:szCs w:val="21"/>
        </w:rPr>
      </w:pPr>
      <w:r>
        <w:rPr>
          <w:rFonts w:hint="eastAsia"/>
          <w:szCs w:val="21"/>
        </w:rPr>
        <w:t>南京横渡防统方系统及其关联设备软</w:t>
      </w:r>
      <w:r>
        <w:rPr>
          <w:szCs w:val="21"/>
        </w:rPr>
        <w:t>硬件</w:t>
      </w:r>
      <w:r>
        <w:rPr>
          <w:rFonts w:hint="eastAsia"/>
          <w:szCs w:val="21"/>
        </w:rPr>
        <w:t>7*24原厂</w:t>
      </w:r>
      <w:r>
        <w:rPr>
          <w:szCs w:val="21"/>
        </w:rPr>
        <w:t>维保</w:t>
      </w:r>
      <w:r>
        <w:rPr>
          <w:rFonts w:hint="eastAsia"/>
          <w:szCs w:val="21"/>
        </w:rPr>
        <w:t>及</w:t>
      </w:r>
      <w:r>
        <w:rPr>
          <w:szCs w:val="21"/>
        </w:rPr>
        <w:t>服务</w:t>
      </w:r>
      <w:r>
        <w:rPr>
          <w:rFonts w:hint="eastAsia"/>
          <w:szCs w:val="21"/>
        </w:rPr>
        <w:t xml:space="preserve"> </w:t>
      </w:r>
      <w:r>
        <w:rPr>
          <w:szCs w:val="21"/>
        </w:rPr>
        <w:t>1</w:t>
      </w:r>
      <w:r>
        <w:rPr>
          <w:rFonts w:hint="eastAsia"/>
          <w:szCs w:val="21"/>
        </w:rPr>
        <w:t>年</w:t>
      </w:r>
    </w:p>
    <w:p>
      <w:pPr>
        <w:numPr>
          <w:ilvl w:val="0"/>
          <w:numId w:val="4"/>
        </w:numPr>
        <w:spacing w:line="360" w:lineRule="auto"/>
        <w:rPr>
          <w:szCs w:val="21"/>
        </w:rPr>
      </w:pPr>
      <w:r>
        <w:rPr>
          <w:rFonts w:hint="eastAsia"/>
          <w:szCs w:val="21"/>
        </w:rPr>
        <w:t>安恒堡垒机系统及其关联设备软</w:t>
      </w:r>
      <w:r>
        <w:rPr>
          <w:szCs w:val="21"/>
        </w:rPr>
        <w:t>硬件</w:t>
      </w:r>
      <w:r>
        <w:rPr>
          <w:rFonts w:hint="eastAsia"/>
          <w:szCs w:val="21"/>
        </w:rPr>
        <w:t>7*24原厂</w:t>
      </w:r>
      <w:r>
        <w:rPr>
          <w:szCs w:val="21"/>
        </w:rPr>
        <w:t>维保</w:t>
      </w:r>
      <w:r>
        <w:rPr>
          <w:rFonts w:hint="eastAsia"/>
          <w:szCs w:val="21"/>
        </w:rPr>
        <w:t>及</w:t>
      </w:r>
      <w:r>
        <w:rPr>
          <w:szCs w:val="21"/>
        </w:rPr>
        <w:t>服务</w:t>
      </w:r>
      <w:r>
        <w:rPr>
          <w:rFonts w:hint="eastAsia"/>
          <w:szCs w:val="21"/>
        </w:rPr>
        <w:t xml:space="preserve"> </w:t>
      </w:r>
      <w:r>
        <w:rPr>
          <w:szCs w:val="21"/>
        </w:rPr>
        <w:t>1</w:t>
      </w:r>
      <w:r>
        <w:rPr>
          <w:rFonts w:hint="eastAsia"/>
          <w:szCs w:val="21"/>
        </w:rPr>
        <w:t>年</w:t>
      </w:r>
    </w:p>
    <w:p>
      <w:pPr>
        <w:pStyle w:val="3"/>
        <w:numPr>
          <w:ilvl w:val="0"/>
          <w:numId w:val="3"/>
        </w:numPr>
      </w:pPr>
      <w:r>
        <w:rPr>
          <w:rFonts w:hint="eastAsia"/>
        </w:rPr>
        <w:t>设备清单</w:t>
      </w:r>
    </w:p>
    <w:tbl>
      <w:tblPr>
        <w:tblStyle w:val="8"/>
        <w:tblW w:w="5000" w:type="pct"/>
        <w:tblInd w:w="0" w:type="dxa"/>
        <w:tblLayout w:type="autofit"/>
        <w:tblCellMar>
          <w:top w:w="0" w:type="dxa"/>
          <w:left w:w="108" w:type="dxa"/>
          <w:bottom w:w="0" w:type="dxa"/>
          <w:right w:w="108" w:type="dxa"/>
        </w:tblCellMar>
      </w:tblPr>
      <w:tblGrid>
        <w:gridCol w:w="696"/>
        <w:gridCol w:w="1951"/>
        <w:gridCol w:w="5797"/>
        <w:gridCol w:w="78"/>
      </w:tblGrid>
      <w:tr>
        <w:tblPrEx>
          <w:tblCellMar>
            <w:top w:w="0" w:type="dxa"/>
            <w:left w:w="108" w:type="dxa"/>
            <w:bottom w:w="0" w:type="dxa"/>
            <w:right w:w="108" w:type="dxa"/>
          </w:tblCellMar>
        </w:tblPrEx>
        <w:trPr>
          <w:trHeight w:val="408"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C6E0B4"/>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安全类设备维保需求表</w:t>
            </w:r>
          </w:p>
        </w:tc>
      </w:tr>
      <w:tr>
        <w:tblPrEx>
          <w:tblCellMar>
            <w:top w:w="0" w:type="dxa"/>
            <w:left w:w="108" w:type="dxa"/>
            <w:bottom w:w="0" w:type="dxa"/>
            <w:right w:w="108" w:type="dxa"/>
          </w:tblCellMar>
        </w:tblPrEx>
        <w:trPr>
          <w:gridAfter w:val="1"/>
          <w:wAfter w:w="44" w:type="pct"/>
          <w:trHeight w:val="408"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序号</w:t>
            </w:r>
          </w:p>
        </w:tc>
        <w:tc>
          <w:tcPr>
            <w:tcW w:w="114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名称</w:t>
            </w:r>
          </w:p>
        </w:tc>
        <w:tc>
          <w:tcPr>
            <w:tcW w:w="340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明细</w:t>
            </w:r>
          </w:p>
        </w:tc>
      </w:tr>
      <w:tr>
        <w:trPr>
          <w:gridAfter w:val="1"/>
          <w:wAfter w:w="44" w:type="pct"/>
          <w:trHeight w:val="1632"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1</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BJCA软硬件运维</w:t>
            </w:r>
          </w:p>
        </w:tc>
        <w:tc>
          <w:tcPr>
            <w:tcW w:w="3401"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提供原厂维保；对我院BJCA数字证书应用产品软硬件维保，保障其正常运转。设备包括2台电子签名验签服务器设备与系统；2台时间戳服务器设备与系统；1台数字证书管理服务器设备与系统。</w:t>
            </w:r>
          </w:p>
        </w:tc>
      </w:tr>
      <w:tr>
        <w:tblPrEx>
          <w:tblCellMar>
            <w:top w:w="0" w:type="dxa"/>
            <w:left w:w="108" w:type="dxa"/>
            <w:bottom w:w="0" w:type="dxa"/>
            <w:right w:w="108" w:type="dxa"/>
          </w:tblCellMar>
        </w:tblPrEx>
        <w:trPr>
          <w:gridAfter w:val="1"/>
          <w:wAfter w:w="44" w:type="pct"/>
          <w:trHeight w:val="3204"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2</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绿盟远程安全评估系统V6.0（NSROCUS RSAS V6.0）软硬件运维</w:t>
            </w:r>
          </w:p>
        </w:tc>
        <w:tc>
          <w:tcPr>
            <w:tcW w:w="3401"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提供原厂维保；对我院1台绿盟远程安全评估系统提供软硬件维保，保障其正常运转。</w:t>
            </w:r>
          </w:p>
        </w:tc>
      </w:tr>
      <w:tr>
        <w:tblPrEx>
          <w:tblCellMar>
            <w:top w:w="0" w:type="dxa"/>
            <w:left w:w="108" w:type="dxa"/>
            <w:bottom w:w="0" w:type="dxa"/>
            <w:right w:w="108" w:type="dxa"/>
          </w:tblCellMar>
        </w:tblPrEx>
        <w:trPr>
          <w:gridAfter w:val="1"/>
          <w:wAfter w:w="44" w:type="pct"/>
          <w:trHeight w:val="1224"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3</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南京横渡防统方系统软硬件运维</w:t>
            </w:r>
          </w:p>
        </w:tc>
        <w:tc>
          <w:tcPr>
            <w:tcW w:w="3401"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提供原厂维保；对我院1台横渡防统方系统提供软硬件维保，保障其正常运转。</w:t>
            </w:r>
          </w:p>
        </w:tc>
      </w:tr>
      <w:tr>
        <w:tblPrEx>
          <w:tblCellMar>
            <w:top w:w="0" w:type="dxa"/>
            <w:left w:w="108" w:type="dxa"/>
            <w:bottom w:w="0" w:type="dxa"/>
            <w:right w:w="108" w:type="dxa"/>
          </w:tblCellMar>
        </w:tblPrEx>
        <w:trPr>
          <w:gridAfter w:val="1"/>
          <w:wAfter w:w="44" w:type="pct"/>
          <w:trHeight w:val="1224"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4</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安恒堡垒机软硬件运维</w:t>
            </w:r>
          </w:p>
        </w:tc>
        <w:tc>
          <w:tcPr>
            <w:tcW w:w="3401"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提供原厂维保；对我院安恒堡垒机系统提供软硬件维保，保障其正常运转。设备包括：序列号2209X090193和1709X09545两台堡垒机设备与系统。</w:t>
            </w:r>
          </w:p>
        </w:tc>
      </w:tr>
    </w:tbl>
    <w:p/>
    <w:p>
      <w:pPr>
        <w:pStyle w:val="3"/>
      </w:pPr>
      <w:r>
        <w:rPr>
          <w:rFonts w:hint="eastAsia"/>
        </w:rPr>
        <w:t>服务要求</w:t>
      </w:r>
    </w:p>
    <w:p>
      <w:pPr>
        <w:pStyle w:val="17"/>
        <w:numPr>
          <w:ilvl w:val="0"/>
          <w:numId w:val="5"/>
        </w:numPr>
        <w:ind w:firstLineChars="0"/>
        <w:rPr>
          <w:rFonts w:ascii="Times New Roman" w:hAnsi="Times New Roman" w:cstheme="minorBidi"/>
          <w:sz w:val="21"/>
          <w:szCs w:val="21"/>
          <w:lang w:val="zh-CN"/>
        </w:rPr>
      </w:pPr>
      <w:r>
        <w:rPr>
          <w:rFonts w:hint="eastAsia" w:ascii="Times New Roman" w:hAnsi="Times New Roman" w:cstheme="minorBidi"/>
          <w:sz w:val="21"/>
          <w:szCs w:val="21"/>
          <w:lang w:val="zh-CN"/>
        </w:rPr>
        <w:t>★对清单中产品提供7*24原厂维保服务和应急响应服务。</w:t>
      </w:r>
    </w:p>
    <w:p>
      <w:pPr>
        <w:pStyle w:val="17"/>
        <w:numPr>
          <w:ilvl w:val="0"/>
          <w:numId w:val="5"/>
        </w:numPr>
        <w:ind w:firstLineChars="0"/>
        <w:rPr>
          <w:rFonts w:ascii="Times New Roman" w:hAnsi="Times New Roman" w:cstheme="minorBidi"/>
          <w:sz w:val="21"/>
          <w:szCs w:val="21"/>
          <w:lang w:val="zh-CN"/>
        </w:rPr>
      </w:pPr>
      <w:r>
        <w:rPr>
          <w:rFonts w:hint="eastAsia" w:ascii="Times New Roman" w:hAnsi="Times New Roman" w:cstheme="minorBidi"/>
          <w:sz w:val="21"/>
          <w:szCs w:val="21"/>
          <w:lang w:val="zh-CN"/>
        </w:rPr>
        <w:t>★提供设备软件版本升级服务和许可证书更新、资源库更新。</w:t>
      </w:r>
    </w:p>
    <w:p>
      <w:pPr>
        <w:pStyle w:val="17"/>
        <w:numPr>
          <w:ilvl w:val="0"/>
          <w:numId w:val="5"/>
        </w:numPr>
        <w:ind w:firstLineChars="0"/>
        <w:rPr>
          <w:rFonts w:ascii="Times New Roman" w:hAnsi="Times New Roman" w:cstheme="minorBidi"/>
          <w:sz w:val="21"/>
          <w:szCs w:val="21"/>
          <w:lang w:val="zh-CN"/>
        </w:rPr>
      </w:pPr>
      <w:r>
        <w:rPr>
          <w:rFonts w:hint="eastAsia" w:ascii="Times New Roman" w:hAnsi="Times New Roman" w:cstheme="minorBidi"/>
          <w:sz w:val="21"/>
          <w:szCs w:val="21"/>
          <w:lang w:val="zh-CN"/>
        </w:rPr>
        <w:t>#每季度对设备清单中产品巡检并提供巡检报告</w:t>
      </w:r>
      <w:r>
        <w:rPr>
          <w:rFonts w:hint="eastAsia"/>
          <w:sz w:val="21"/>
          <w:szCs w:val="21"/>
          <w:lang w:val="zh-CN"/>
        </w:rPr>
        <w:t>。</w:t>
      </w:r>
    </w:p>
    <w:p>
      <w:pPr>
        <w:pStyle w:val="17"/>
        <w:numPr>
          <w:ilvl w:val="0"/>
          <w:numId w:val="5"/>
        </w:numPr>
        <w:ind w:firstLineChars="0"/>
        <w:rPr>
          <w:rFonts w:ascii="Times New Roman" w:hAnsi="Times New Roman" w:cstheme="minorBidi"/>
          <w:sz w:val="21"/>
          <w:szCs w:val="21"/>
          <w:lang w:val="zh-CN"/>
        </w:rPr>
      </w:pPr>
      <w:r>
        <w:rPr>
          <w:rFonts w:hint="eastAsia" w:ascii="Times New Roman" w:hAnsi="Times New Roman" w:cstheme="minorBidi"/>
          <w:sz w:val="21"/>
          <w:szCs w:val="21"/>
          <w:lang w:val="zh-CN"/>
        </w:rPr>
        <w:t>★对突发故障提供不限人天的紧急响应，技术人员2小时内到达现场。</w:t>
      </w:r>
    </w:p>
    <w:p>
      <w:pPr>
        <w:pStyle w:val="17"/>
        <w:numPr>
          <w:ilvl w:val="0"/>
          <w:numId w:val="5"/>
        </w:numPr>
        <w:ind w:firstLineChars="0"/>
        <w:rPr>
          <w:rFonts w:ascii="Times New Roman" w:hAnsi="Times New Roman" w:cstheme="minorBidi"/>
          <w:sz w:val="21"/>
          <w:szCs w:val="21"/>
          <w:lang w:val="zh-CN"/>
        </w:rPr>
      </w:pPr>
      <w:r>
        <w:rPr>
          <w:rFonts w:hint="eastAsia" w:ascii="Times New Roman" w:hAnsi="Times New Roman" w:cstheme="minorBidi"/>
          <w:sz w:val="21"/>
          <w:szCs w:val="21"/>
          <w:lang w:val="zh-CN"/>
        </w:rPr>
        <w:t>如遇设备需要扩容、迁移位置、跳线等实施工作，需提供人力支持，并提供网线、光纤等必要耗材，协助甲方完成相关工作。</w:t>
      </w:r>
    </w:p>
    <w:p>
      <w:pPr>
        <w:numPr>
          <w:ilvl w:val="0"/>
          <w:numId w:val="5"/>
        </w:numPr>
        <w:spacing w:line="360" w:lineRule="auto"/>
        <w:rPr>
          <w:rFonts w:hint="eastAsia"/>
          <w:szCs w:val="21"/>
          <w:lang w:val="zh-CN"/>
        </w:rPr>
      </w:pPr>
      <w:r>
        <w:rPr>
          <w:rFonts w:hint="eastAsia"/>
          <w:szCs w:val="21"/>
          <w:lang w:val="zh-CN"/>
        </w:rPr>
        <w:t>#第一时间修复已知漏洞及兼容性问题。</w:t>
      </w:r>
    </w:p>
    <w:p>
      <w:pPr>
        <w:numPr>
          <w:ilvl w:val="0"/>
          <w:numId w:val="5"/>
        </w:numPr>
        <w:spacing w:line="360" w:lineRule="auto"/>
        <w:rPr>
          <w:szCs w:val="21"/>
          <w:lang w:val="zh-CN"/>
        </w:rPr>
      </w:pPr>
      <w:r>
        <w:rPr>
          <w:rFonts w:hint="eastAsia"/>
          <w:szCs w:val="21"/>
          <w:lang w:val="zh-CN"/>
        </w:rPr>
        <w:t>确定故障后，原厂或者第三方技术人员和备件在</w:t>
      </w:r>
      <w:r>
        <w:rPr>
          <w:szCs w:val="21"/>
          <w:lang w:val="zh-CN"/>
        </w:rPr>
        <w:t>4</w:t>
      </w:r>
      <w:r>
        <w:rPr>
          <w:rFonts w:hint="eastAsia"/>
          <w:szCs w:val="21"/>
          <w:lang w:val="zh-CN"/>
        </w:rPr>
        <w:t>小时内到达现场，并立即免费更换。</w:t>
      </w:r>
    </w:p>
    <w:p>
      <w:pPr>
        <w:numPr>
          <w:ilvl w:val="0"/>
          <w:numId w:val="5"/>
        </w:numPr>
        <w:spacing w:line="360" w:lineRule="auto"/>
        <w:rPr>
          <w:szCs w:val="21"/>
          <w:lang w:val="zh-CN"/>
        </w:rPr>
      </w:pPr>
      <w:r>
        <w:rPr>
          <w:rFonts w:hint="eastAsia"/>
          <w:szCs w:val="21"/>
          <w:lang w:val="zh-CN"/>
        </w:rPr>
        <w:t>#提供至少</w:t>
      </w:r>
      <w:r>
        <w:rPr>
          <w:szCs w:val="21"/>
          <w:lang w:val="zh-CN"/>
        </w:rPr>
        <w:t>15</w:t>
      </w:r>
      <w:r>
        <w:rPr>
          <w:rFonts w:hint="eastAsia"/>
          <w:szCs w:val="21"/>
          <w:lang w:val="zh-CN"/>
        </w:rPr>
        <w:t>人天的驻场服务，包括但不限于数据迁移、核心系统割接和重大事件现场技术支持和值守保障等。</w:t>
      </w:r>
    </w:p>
    <w:p>
      <w:pPr>
        <w:pStyle w:val="17"/>
        <w:numPr>
          <w:ilvl w:val="0"/>
          <w:numId w:val="5"/>
        </w:numPr>
        <w:ind w:firstLineChars="0"/>
        <w:rPr>
          <w:rFonts w:hint="eastAsia"/>
          <w:sz w:val="21"/>
          <w:szCs w:val="21"/>
          <w:lang w:val="zh-CN"/>
        </w:rPr>
      </w:pPr>
      <w:r>
        <w:rPr>
          <w:rFonts w:hint="eastAsia"/>
          <w:sz w:val="21"/>
          <w:szCs w:val="21"/>
          <w:lang w:val="zh-CN"/>
        </w:rPr>
        <w:t>非维保内系统或设备引起的故障，需提供远程协助配合，必要情况赴现场支持。</w:t>
      </w:r>
    </w:p>
    <w:p>
      <w:pPr>
        <w:pStyle w:val="17"/>
        <w:numPr>
          <w:ilvl w:val="0"/>
          <w:numId w:val="5"/>
        </w:numPr>
        <w:ind w:firstLineChars="0"/>
        <w:rPr>
          <w:rFonts w:ascii="Times New Roman" w:hAnsi="Times New Roman" w:cstheme="minorBidi"/>
          <w:sz w:val="21"/>
          <w:szCs w:val="21"/>
          <w:lang w:val="zh-CN"/>
        </w:rPr>
      </w:pPr>
      <w:r>
        <w:rPr>
          <w:rFonts w:hint="eastAsia" w:ascii="Times New Roman" w:hAnsi="Times New Roman" w:cstheme="minorBidi"/>
          <w:sz w:val="21"/>
          <w:szCs w:val="21"/>
          <w:lang w:val="zh-CN"/>
        </w:rPr>
        <w:t>提供个性化的培训，培训内容包括但不限于系统运维技术、软件的操作和使用、常见故障处理等。</w:t>
      </w:r>
    </w:p>
    <w:p>
      <w:pPr>
        <w:numPr>
          <w:ilvl w:val="0"/>
          <w:numId w:val="5"/>
        </w:numPr>
        <w:spacing w:line="360" w:lineRule="auto"/>
        <w:rPr>
          <w:szCs w:val="21"/>
          <w:lang w:val="zh-CN"/>
        </w:rPr>
      </w:pPr>
      <w:r>
        <w:rPr>
          <w:rFonts w:hint="eastAsia"/>
          <w:szCs w:val="21"/>
          <w:lang w:val="zh-CN"/>
        </w:rPr>
        <w:t>提供最新网络安全情报和处理方案。</w:t>
      </w:r>
    </w:p>
    <w:p>
      <w:pPr>
        <w:numPr>
          <w:ilvl w:val="0"/>
          <w:numId w:val="5"/>
        </w:numPr>
        <w:spacing w:line="360" w:lineRule="auto"/>
        <w:rPr>
          <w:szCs w:val="21"/>
          <w:lang w:val="zh-CN"/>
        </w:rPr>
      </w:pPr>
      <w:r>
        <w:rPr>
          <w:rFonts w:hint="eastAsia"/>
          <w:szCs w:val="21"/>
          <w:lang w:val="zh-CN"/>
        </w:rPr>
        <w:t>保证投标时技术人员和后期服务技术人员（驻场或者到现场实施）相同，并且服务期间技术工程师不得私自变更。</w:t>
      </w:r>
    </w:p>
    <w:p>
      <w:pPr>
        <w:spacing w:line="360" w:lineRule="auto"/>
        <w:ind w:left="420"/>
        <w:rPr>
          <w:lang w:val="zh-CN"/>
        </w:rPr>
      </w:pPr>
    </w:p>
    <w:p>
      <w:pPr>
        <w:spacing w:line="360" w:lineRule="auto"/>
        <w:ind w:left="420"/>
        <w:rPr>
          <w:lang w:val="zh-CN"/>
        </w:rPr>
      </w:pPr>
    </w:p>
    <w:p>
      <w:pPr>
        <w:spacing w:line="360" w:lineRule="auto"/>
        <w:ind w:left="420"/>
        <w:rPr>
          <w:lang w:val="zh-CN"/>
        </w:rPr>
      </w:pPr>
    </w:p>
    <w:p>
      <w:pPr>
        <w:spacing w:line="360" w:lineRule="auto"/>
        <w:ind w:left="420"/>
        <w:rPr>
          <w:lang w:val="zh-CN"/>
        </w:rPr>
      </w:pPr>
    </w:p>
    <w:p>
      <w:pPr>
        <w:spacing w:line="360" w:lineRule="auto"/>
        <w:ind w:left="420"/>
        <w:rPr>
          <w:lang w:val="zh-CN"/>
        </w:rPr>
      </w:pPr>
    </w:p>
    <w:p>
      <w:pPr>
        <w:spacing w:line="360" w:lineRule="auto"/>
        <w:rPr>
          <w:lang w:val="zh-CN"/>
        </w:rPr>
      </w:pPr>
    </w:p>
    <w:p>
      <w:pPr>
        <w:pStyle w:val="3"/>
      </w:pPr>
      <w:r>
        <w:rPr>
          <w:rFonts w:hint="eastAsia"/>
        </w:rPr>
        <w:t>评分标准</w:t>
      </w:r>
    </w:p>
    <w:tbl>
      <w:tblPr>
        <w:tblStyle w:val="8"/>
        <w:tblW w:w="5000" w:type="pct"/>
        <w:tblInd w:w="0" w:type="dxa"/>
        <w:tblLayout w:type="autofit"/>
        <w:tblCellMar>
          <w:top w:w="0" w:type="dxa"/>
          <w:left w:w="108" w:type="dxa"/>
          <w:bottom w:w="0" w:type="dxa"/>
          <w:right w:w="108" w:type="dxa"/>
        </w:tblCellMar>
      </w:tblPr>
      <w:tblGrid>
        <w:gridCol w:w="1222"/>
        <w:gridCol w:w="1682"/>
        <w:gridCol w:w="731"/>
        <w:gridCol w:w="4887"/>
      </w:tblGrid>
      <w:tr>
        <w:tblPrEx>
          <w:tblCellMar>
            <w:top w:w="0" w:type="dxa"/>
            <w:left w:w="108" w:type="dxa"/>
            <w:bottom w:w="0" w:type="dxa"/>
            <w:right w:w="108" w:type="dxa"/>
          </w:tblCellMar>
        </w:tblPrEx>
        <w:trPr>
          <w:tblHeader/>
        </w:trPr>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rPr>
            </w:pPr>
            <w:r>
              <w:rPr>
                <w:rFonts w:hint="eastAsia"/>
                <w:b/>
                <w:bCs/>
              </w:rPr>
              <w:t>内容</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rPr>
            </w:pPr>
            <w:r>
              <w:rPr>
                <w:rFonts w:hint="eastAsia"/>
                <w:b/>
                <w:bCs/>
              </w:rPr>
              <w:t>评分因素分项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rPr>
            </w:pPr>
            <w:r>
              <w:rPr>
                <w:rFonts w:hint="eastAsia"/>
                <w:b/>
                <w:bCs/>
              </w:rPr>
              <w:t>分值</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rPr>
            </w:pPr>
            <w:r>
              <w:rPr>
                <w:rFonts w:hint="eastAsia"/>
                <w:b/>
                <w:bCs/>
              </w:rPr>
              <w:t>评分因素分项</w:t>
            </w:r>
          </w:p>
        </w:tc>
      </w:tr>
      <w:tr>
        <w:tblPrEx>
          <w:tblCellMar>
            <w:top w:w="0" w:type="dxa"/>
            <w:left w:w="108" w:type="dxa"/>
            <w:bottom w:w="0" w:type="dxa"/>
            <w:right w:w="108" w:type="dxa"/>
          </w:tblCellMar>
        </w:tblPrEx>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价格部分30分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评标价格</w:t>
            </w:r>
            <w:r>
              <w:rPr>
                <w:rFonts w:hint="eastAsia"/>
              </w:rPr>
              <w:br w:type="textWrapping"/>
            </w:r>
            <w:r>
              <w:rPr>
                <w:rFonts w:hint="eastAsia"/>
              </w:rPr>
              <w:t>【客观】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30</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满足遴选文件要求且投标价格最低的投标报价为评标基准价，其价格分为满分。其他投标人的价格分统一按照下列公式计算：</w:t>
            </w:r>
            <w:r>
              <w:rPr>
                <w:rFonts w:hint="eastAsia"/>
              </w:rPr>
              <w:br w:type="textWrapping"/>
            </w:r>
            <w:r>
              <w:rPr>
                <w:rFonts w:hint="eastAsia"/>
              </w:rPr>
              <w:t>投标报价得分＝（评标基准价/投标报价）×30</w:t>
            </w:r>
          </w:p>
        </w:tc>
      </w:tr>
      <w:tr>
        <w:tblPrEx>
          <w:tblCellMar>
            <w:top w:w="0" w:type="dxa"/>
            <w:left w:w="108" w:type="dxa"/>
            <w:bottom w:w="0" w:type="dxa"/>
            <w:right w:w="108" w:type="dxa"/>
          </w:tblCellMar>
        </w:tblPrEx>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商务部分14分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同类项目业绩</w:t>
            </w:r>
            <w:r>
              <w:rPr>
                <w:rFonts w:hint="eastAsia"/>
              </w:rPr>
              <w:br w:type="textWrapping"/>
            </w:r>
            <w:r>
              <w:rPr>
                <w:rFonts w:hint="eastAsia"/>
              </w:rPr>
              <w:t>【客观】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6</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根据投标人提供近三年同类业绩进行打分，每有1个得2分，最高得6分。须提供合同复印件，体现合同名称、产品型号以及双方签字盖章页。</w:t>
            </w:r>
          </w:p>
        </w:tc>
      </w:tr>
      <w:tr>
        <w:tblPrEx>
          <w:tblCellMar>
            <w:top w:w="0" w:type="dxa"/>
            <w:left w:w="108" w:type="dxa"/>
            <w:bottom w:w="0" w:type="dxa"/>
            <w:right w:w="108" w:type="dxa"/>
          </w:tblCellMar>
        </w:tblPrEx>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资质认证</w:t>
            </w:r>
            <w:r>
              <w:rPr>
                <w:rFonts w:hint="eastAsia"/>
              </w:rPr>
              <w:br w:type="textWrapping"/>
            </w:r>
            <w:r>
              <w:rPr>
                <w:rFonts w:hint="eastAsia"/>
              </w:rPr>
              <w:t>【客观】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r>
              <w:t>8</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资质认证：投标人提供质量管理体系认证相关证书、业务连续性管理体系相关证书。,每提供一个有效期内证书得</w:t>
            </w:r>
            <w:r>
              <w:t>2</w:t>
            </w:r>
            <w:r>
              <w:rPr>
                <w:rFonts w:hint="eastAsia"/>
              </w:rPr>
              <w:t>分，最高得</w:t>
            </w:r>
            <w:r>
              <w:t>6</w:t>
            </w:r>
            <w:r>
              <w:rPr>
                <w:rFonts w:hint="eastAsia"/>
              </w:rPr>
              <w:t>分。</w:t>
            </w:r>
          </w:p>
          <w:p>
            <w:r>
              <w:rPr>
                <w:rFonts w:hint="eastAsia"/>
              </w:rPr>
              <w:t>投标人有维保原厂合作代理证书，得2分。</w:t>
            </w:r>
          </w:p>
        </w:tc>
      </w:tr>
      <w:tr>
        <w:tblPrEx>
          <w:tblCellMar>
            <w:top w:w="0" w:type="dxa"/>
            <w:left w:w="108" w:type="dxa"/>
            <w:bottom w:w="0" w:type="dxa"/>
            <w:right w:w="108" w:type="dxa"/>
          </w:tblCellMar>
        </w:tblPrEx>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技术部分</w:t>
            </w:r>
            <w:r>
              <w:rPr>
                <w:rFonts w:hint="eastAsia"/>
              </w:rPr>
              <w:br w:type="textWrapping"/>
            </w:r>
            <w:r>
              <w:rPr>
                <w:rFonts w:hint="eastAsia"/>
              </w:rPr>
              <w:t>26分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需求响应</w:t>
            </w:r>
            <w:r>
              <w:rPr>
                <w:rFonts w:hint="eastAsia"/>
              </w:rPr>
              <w:br w:type="textWrapping"/>
            </w:r>
            <w:r>
              <w:rPr>
                <w:rFonts w:hint="eastAsia"/>
              </w:rPr>
              <w:t>【客观】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26</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1.完全满足需求文件“</w:t>
            </w:r>
            <w:r>
              <w:t>4.</w:t>
            </w:r>
            <w:r>
              <w:rPr>
                <w:rFonts w:hint="eastAsia"/>
              </w:rPr>
              <w:t>服务要求”的得满分26分。</w:t>
            </w:r>
          </w:p>
          <w:p>
            <w:r>
              <w:rPr>
                <w:rFonts w:hint="eastAsia"/>
              </w:rPr>
              <w:t>2.带“★”号标记的条款为实质性要求，若不满足则投标无效。</w:t>
            </w:r>
          </w:p>
          <w:p>
            <w:r>
              <w:rPr>
                <w:rFonts w:hint="eastAsia"/>
              </w:rPr>
              <w:t>3.带“#”号标记的条款为重要要求（共计</w:t>
            </w:r>
            <w:r>
              <w:rPr>
                <w:rFonts w:hint="eastAsia"/>
                <w:lang w:val="en-US" w:eastAsia="zh-CN"/>
              </w:rPr>
              <w:t>3</w:t>
            </w:r>
            <w:r>
              <w:rPr>
                <w:rFonts w:hint="eastAsia"/>
              </w:rPr>
              <w:t>条），每条负偏离扣</w:t>
            </w:r>
            <w:r>
              <w:rPr>
                <w:rFonts w:hint="eastAsia"/>
                <w:lang w:val="en-US" w:eastAsia="zh-CN"/>
              </w:rPr>
              <w:t>4.7</w:t>
            </w:r>
            <w:r>
              <w:rPr>
                <w:rFonts w:hint="eastAsia"/>
              </w:rPr>
              <w:t>分。</w:t>
            </w:r>
          </w:p>
          <w:p>
            <w:r>
              <w:t>4.</w:t>
            </w:r>
            <w:r>
              <w:rPr>
                <w:rFonts w:hint="eastAsia"/>
              </w:rPr>
              <w:t>无标记为一般要求(共计6条)，每条负偏离扣2分。</w:t>
            </w:r>
          </w:p>
        </w:tc>
      </w:tr>
      <w:tr>
        <w:tblPrEx>
          <w:tblCellMar>
            <w:top w:w="0" w:type="dxa"/>
            <w:left w:w="108" w:type="dxa"/>
            <w:bottom w:w="0" w:type="dxa"/>
            <w:right w:w="108" w:type="dxa"/>
          </w:tblCellMar>
        </w:tblPrEx>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服务部分</w:t>
            </w:r>
            <w:r>
              <w:rPr>
                <w:rFonts w:hint="eastAsia"/>
              </w:rPr>
              <w:br w:type="textWrapping"/>
            </w:r>
            <w:r>
              <w:t>3</w:t>
            </w:r>
            <w:r>
              <w:rPr>
                <w:rFonts w:hint="eastAsia"/>
              </w:rPr>
              <w:t>0分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服务方案</w:t>
            </w:r>
            <w:r>
              <w:rPr>
                <w:rFonts w:hint="eastAsia"/>
              </w:rPr>
              <w:br w:type="textWrapping"/>
            </w:r>
            <w:r>
              <w:rPr>
                <w:rFonts w:hint="eastAsia"/>
              </w:rPr>
              <w:t>【主观】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15</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根据对本项目实际情况的理解和综合分析，对提供服务方案的全面性、专业性、可操作性等方面进行综合评价，包括但不限于：①项目服务计划及具体服务内容；②服务响应时间及到达现场时间；③质量保障方</w:t>
            </w:r>
            <w:bookmarkStart w:id="0" w:name="_GoBack"/>
            <w:bookmarkEnd w:id="0"/>
            <w:r>
              <w:rPr>
                <w:rFonts w:hint="eastAsia"/>
              </w:rPr>
              <w:t>案及风险管理。</w:t>
            </w:r>
          </w:p>
          <w:p>
            <w:r>
              <w:rPr>
                <w:rFonts w:hint="eastAsia"/>
              </w:rPr>
              <w:t>1.对项目理解深刻，服务方案详细且有很强的针对性，可操作性强，方案优秀，得15分；</w:t>
            </w:r>
          </w:p>
          <w:p>
            <w:r>
              <w:rPr>
                <w:rFonts w:hint="eastAsia"/>
              </w:rPr>
              <w:t>2.对项目理解较多，服务方案较为详细且有针对性，可操作性较好，方案良好，得10分；</w:t>
            </w:r>
          </w:p>
          <w:p>
            <w:r>
              <w:rPr>
                <w:rFonts w:hint="eastAsia"/>
              </w:rPr>
              <w:t>3.对项目无理解，服务方案虽阐述但未贴合项目实际情况或内容未包括具体服务细节及措施且无针对性，方案通用，得5分；</w:t>
            </w:r>
          </w:p>
          <w:p>
            <w:r>
              <w:rPr>
                <w:rFonts w:hint="eastAsia"/>
              </w:rPr>
              <w:t>4.内容未进行阐述或不满足服务需求，不得分。</w:t>
            </w:r>
          </w:p>
        </w:tc>
      </w:tr>
      <w:tr>
        <w:tblPrEx>
          <w:tblCellMar>
            <w:top w:w="0" w:type="dxa"/>
            <w:left w:w="108" w:type="dxa"/>
            <w:bottom w:w="0" w:type="dxa"/>
            <w:right w:w="108" w:type="dxa"/>
          </w:tblCellMar>
        </w:tblPrEx>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服务团队</w:t>
            </w:r>
            <w:r>
              <w:rPr>
                <w:rFonts w:hint="eastAsia"/>
              </w:rPr>
              <w:br w:type="textWrapping"/>
            </w:r>
            <w:r>
              <w:rPr>
                <w:rFonts w:hint="eastAsia"/>
              </w:rPr>
              <w:t>【主观】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lang w:eastAsia="zh-CN"/>
              </w:rPr>
            </w:pPr>
            <w:r>
              <w:t>1</w:t>
            </w:r>
            <w:r>
              <w:rPr>
                <w:rFonts w:hint="eastAsia"/>
                <w:lang w:val="en-US" w:eastAsia="zh-CN"/>
              </w:rPr>
              <w:t>0</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根据需求技术响应情况，对投标人提供的项目团队人员的分工情况和管理架构、责任划分、人员能力等进行评价，其中：</w:t>
            </w:r>
          </w:p>
          <w:p>
            <w:r>
              <w:rPr>
                <w:rFonts w:hint="eastAsia"/>
              </w:rPr>
              <w:t>1.投标人提供的项目团队的分工情况和管理架构、责任明确、完整、具体，能完全满足或优于招标文件要求，得12分；</w:t>
            </w:r>
          </w:p>
          <w:p>
            <w:r>
              <w:rPr>
                <w:rFonts w:hint="eastAsia"/>
              </w:rPr>
              <w:t>2.投标人提供的项目团队的分工情况和管理架构、责任较为明确、完整、具体，基本满足招标文件要求，得6分；</w:t>
            </w:r>
          </w:p>
          <w:p>
            <w:r>
              <w:rPr>
                <w:rFonts w:hint="eastAsia"/>
              </w:rPr>
              <w:t>3.未明确项目团队的分工情况和管理架构、责任或项目管理团队的分工情况和管理架构、责任不能满足招标文件要求，得1分。</w:t>
            </w:r>
          </w:p>
        </w:tc>
      </w:tr>
      <w:tr>
        <w:tblPrEx>
          <w:tblCellMar>
            <w:top w:w="0" w:type="dxa"/>
            <w:left w:w="108" w:type="dxa"/>
            <w:bottom w:w="0" w:type="dxa"/>
            <w:right w:w="108" w:type="dxa"/>
          </w:tblCellMar>
        </w:tblPrEx>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应急响应</w:t>
            </w:r>
            <w:r>
              <w:rPr>
                <w:rFonts w:hint="eastAsia"/>
              </w:rPr>
              <w:br w:type="textWrapping"/>
            </w:r>
            <w:r>
              <w:rPr>
                <w:rFonts w:hint="eastAsia"/>
              </w:rPr>
              <w:t>【主观】</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5</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投标人针对本项目的软硬件设备故障问题处理等内容，制定的详细完整的应急响应方案。</w:t>
            </w:r>
          </w:p>
          <w:p>
            <w:r>
              <w:rPr>
                <w:rFonts w:hint="eastAsia"/>
              </w:rPr>
              <w:t>1</w:t>
            </w:r>
            <w:r>
              <w:t>.</w:t>
            </w:r>
            <w:r>
              <w:rPr>
                <w:rFonts w:hint="eastAsia"/>
              </w:rPr>
              <w:t>投标人的应急响应方案完整合理、内容详细，有较强的针对性，保障到位，得5分；</w:t>
            </w:r>
          </w:p>
          <w:p>
            <w:r>
              <w:rPr>
                <w:rFonts w:hint="eastAsia"/>
              </w:rPr>
              <w:t>2</w:t>
            </w:r>
            <w:r>
              <w:t>.</w:t>
            </w:r>
            <w:r>
              <w:rPr>
                <w:rFonts w:hint="eastAsia"/>
              </w:rPr>
              <w:t>投标人的应急响应方案较为合理，内容较为详细，有一定的针对性，得3分；</w:t>
            </w:r>
          </w:p>
          <w:p>
            <w:r>
              <w:t>3.</w:t>
            </w:r>
            <w:r>
              <w:rPr>
                <w:rFonts w:hint="eastAsia"/>
              </w:rPr>
              <w:t>投标人的应急响应方案对属于通用类，非专门针对本项目，不符合实际情况或只是对需求进行简单复制，得</w:t>
            </w:r>
            <w:r>
              <w:t>1</w:t>
            </w:r>
            <w:r>
              <w:rPr>
                <w:rFonts w:hint="eastAsia"/>
              </w:rPr>
              <w:t>分；</w:t>
            </w:r>
          </w:p>
          <w:p>
            <w:r>
              <w:rPr>
                <w:rFonts w:hint="eastAsia"/>
              </w:rPr>
              <w:t>4.未提供的得0分。</w:t>
            </w:r>
          </w:p>
        </w:tc>
      </w:tr>
    </w:tbl>
    <w:p>
      <w:pPr>
        <w:spacing w:line="360" w:lineRule="auto"/>
        <w:rPr>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37524"/>
    <w:multiLevelType w:val="multilevel"/>
    <w:tmpl w:val="01037524"/>
    <w:lvl w:ilvl="0" w:tentative="0">
      <w:start w:val="1"/>
      <w:numFmt w:val="decimal"/>
      <w:pStyle w:val="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610C29"/>
    <w:multiLevelType w:val="multilevel"/>
    <w:tmpl w:val="23610C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3432DA"/>
    <w:multiLevelType w:val="multilevel"/>
    <w:tmpl w:val="363432DA"/>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650B2A"/>
    <w:multiLevelType w:val="multilevel"/>
    <w:tmpl w:val="39650B2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0"/>
    <w:lvlOverride w:ilvl="0">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6C"/>
    <w:rsid w:val="00005ECB"/>
    <w:rsid w:val="00040B93"/>
    <w:rsid w:val="00043EC5"/>
    <w:rsid w:val="00046E2A"/>
    <w:rsid w:val="00050C0D"/>
    <w:rsid w:val="00050FC0"/>
    <w:rsid w:val="00060619"/>
    <w:rsid w:val="00062D3E"/>
    <w:rsid w:val="000A5534"/>
    <w:rsid w:val="00104822"/>
    <w:rsid w:val="00155EA5"/>
    <w:rsid w:val="00172887"/>
    <w:rsid w:val="001802FE"/>
    <w:rsid w:val="00185541"/>
    <w:rsid w:val="0019266E"/>
    <w:rsid w:val="00201712"/>
    <w:rsid w:val="002170BD"/>
    <w:rsid w:val="00235A83"/>
    <w:rsid w:val="002808A5"/>
    <w:rsid w:val="00287797"/>
    <w:rsid w:val="002A4956"/>
    <w:rsid w:val="002C2D8B"/>
    <w:rsid w:val="002C7315"/>
    <w:rsid w:val="00314570"/>
    <w:rsid w:val="0033442C"/>
    <w:rsid w:val="00355A01"/>
    <w:rsid w:val="003C5FF7"/>
    <w:rsid w:val="003C7F7D"/>
    <w:rsid w:val="003E13EE"/>
    <w:rsid w:val="003E42DE"/>
    <w:rsid w:val="00400B4E"/>
    <w:rsid w:val="00407A57"/>
    <w:rsid w:val="00414A03"/>
    <w:rsid w:val="0042414B"/>
    <w:rsid w:val="004901C3"/>
    <w:rsid w:val="0049521D"/>
    <w:rsid w:val="004B4438"/>
    <w:rsid w:val="00516C5B"/>
    <w:rsid w:val="00560ABC"/>
    <w:rsid w:val="00567AD3"/>
    <w:rsid w:val="005824A6"/>
    <w:rsid w:val="00591701"/>
    <w:rsid w:val="005B25E3"/>
    <w:rsid w:val="005C333E"/>
    <w:rsid w:val="00604ED4"/>
    <w:rsid w:val="00644DB0"/>
    <w:rsid w:val="006510F9"/>
    <w:rsid w:val="00684B85"/>
    <w:rsid w:val="00684CAF"/>
    <w:rsid w:val="006969B4"/>
    <w:rsid w:val="006C5012"/>
    <w:rsid w:val="006F259C"/>
    <w:rsid w:val="006F5C08"/>
    <w:rsid w:val="0071298D"/>
    <w:rsid w:val="00721DFC"/>
    <w:rsid w:val="00730FED"/>
    <w:rsid w:val="007645C6"/>
    <w:rsid w:val="00765962"/>
    <w:rsid w:val="007666A4"/>
    <w:rsid w:val="0079358C"/>
    <w:rsid w:val="007F476B"/>
    <w:rsid w:val="0082356D"/>
    <w:rsid w:val="00824D35"/>
    <w:rsid w:val="00841E06"/>
    <w:rsid w:val="008A76B0"/>
    <w:rsid w:val="008C00B2"/>
    <w:rsid w:val="008D55E8"/>
    <w:rsid w:val="008D59DF"/>
    <w:rsid w:val="008F2016"/>
    <w:rsid w:val="009753DE"/>
    <w:rsid w:val="009B7791"/>
    <w:rsid w:val="00A2623E"/>
    <w:rsid w:val="00A50B6C"/>
    <w:rsid w:val="00A75AD6"/>
    <w:rsid w:val="00A75CF2"/>
    <w:rsid w:val="00AB5276"/>
    <w:rsid w:val="00AD2A9F"/>
    <w:rsid w:val="00B20C72"/>
    <w:rsid w:val="00B43AA5"/>
    <w:rsid w:val="00B70AF2"/>
    <w:rsid w:val="00BA2EC1"/>
    <w:rsid w:val="00BB5AC0"/>
    <w:rsid w:val="00BC41F6"/>
    <w:rsid w:val="00BE6444"/>
    <w:rsid w:val="00C037D7"/>
    <w:rsid w:val="00CA13B3"/>
    <w:rsid w:val="00CA572F"/>
    <w:rsid w:val="00CA5961"/>
    <w:rsid w:val="00CC072E"/>
    <w:rsid w:val="00CE3D41"/>
    <w:rsid w:val="00D15483"/>
    <w:rsid w:val="00D15CAC"/>
    <w:rsid w:val="00D47D10"/>
    <w:rsid w:val="00D60C99"/>
    <w:rsid w:val="00D64C5B"/>
    <w:rsid w:val="00D8725D"/>
    <w:rsid w:val="00E04BEA"/>
    <w:rsid w:val="00E114B9"/>
    <w:rsid w:val="00E53E2B"/>
    <w:rsid w:val="00E77ADA"/>
    <w:rsid w:val="00E87DC8"/>
    <w:rsid w:val="00EC3431"/>
    <w:rsid w:val="00ED1A11"/>
    <w:rsid w:val="00ED5F92"/>
    <w:rsid w:val="00EE26ED"/>
    <w:rsid w:val="00EE7B4D"/>
    <w:rsid w:val="00F00BCE"/>
    <w:rsid w:val="00F147F4"/>
    <w:rsid w:val="00F61E7F"/>
    <w:rsid w:val="00F62FB4"/>
    <w:rsid w:val="00F676E9"/>
    <w:rsid w:val="00F7759B"/>
    <w:rsid w:val="00F92BCB"/>
    <w:rsid w:val="00FA1092"/>
    <w:rsid w:val="00FA55C6"/>
    <w:rsid w:val="00FC7F99"/>
    <w:rsid w:val="00FD4AEA"/>
    <w:rsid w:val="00FF0AF9"/>
    <w:rsid w:val="00FF3DE4"/>
    <w:rsid w:val="07EF4010"/>
    <w:rsid w:val="13E3112D"/>
    <w:rsid w:val="1C4972F3"/>
    <w:rsid w:val="38FD240B"/>
    <w:rsid w:val="3BC07542"/>
    <w:rsid w:val="3F4017BC"/>
    <w:rsid w:val="571E588F"/>
    <w:rsid w:val="67260AD3"/>
    <w:rsid w:val="6DDB7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2"/>
    <w:next w:val="1"/>
    <w:link w:val="14"/>
    <w:unhideWhenUsed/>
    <w:qFormat/>
    <w:uiPriority w:val="9"/>
    <w:pPr>
      <w:keepNext/>
      <w:keepLines/>
      <w:numPr>
        <w:ilvl w:val="0"/>
        <w:numId w:val="1"/>
      </w:numPr>
      <w:spacing w:before="120"/>
      <w:outlineLvl w:val="1"/>
    </w:pPr>
    <w:rPr>
      <w:rFonts w:ascii="Times New Roman" w:hAnsi="Times New Roman" w:eastAsia="宋体" w:cstheme="majorBidi"/>
      <w:b/>
      <w:bCs/>
      <w:kern w:val="2"/>
      <w:sz w:val="32"/>
      <w:szCs w:val="32"/>
      <w:lang w:val="en-US" w:eastAsia="zh-CN" w:bidi="ar-SA"/>
    </w:rPr>
  </w:style>
  <w:style w:type="paragraph" w:styleId="3">
    <w:name w:val="heading 3"/>
    <w:next w:val="1"/>
    <w:link w:val="15"/>
    <w:unhideWhenUsed/>
    <w:qFormat/>
    <w:uiPriority w:val="9"/>
    <w:pPr>
      <w:keepNext/>
      <w:keepLines/>
      <w:numPr>
        <w:ilvl w:val="0"/>
        <w:numId w:val="2"/>
      </w:numPr>
      <w:spacing w:before="120"/>
      <w:outlineLvl w:val="2"/>
    </w:pPr>
    <w:rPr>
      <w:rFonts w:ascii="Times New Roman" w:hAnsi="Times New Roman" w:eastAsia="宋体" w:cstheme="minorBidi"/>
      <w:b/>
      <w:bCs/>
      <w:kern w:val="2"/>
      <w:sz w:val="28"/>
      <w:szCs w:val="28"/>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9"/>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20"/>
    <w:semiHidden/>
    <w:unhideWhenUsed/>
    <w:qFormat/>
    <w:uiPriority w:val="99"/>
    <w:rPr>
      <w:b/>
      <w:bCs/>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2 字符"/>
    <w:basedOn w:val="10"/>
    <w:link w:val="2"/>
    <w:qFormat/>
    <w:uiPriority w:val="9"/>
    <w:rPr>
      <w:rFonts w:ascii="Times New Roman" w:hAnsi="Times New Roman" w:eastAsia="宋体" w:cstheme="majorBidi"/>
      <w:b/>
      <w:bCs/>
      <w:sz w:val="32"/>
      <w:szCs w:val="32"/>
    </w:rPr>
  </w:style>
  <w:style w:type="character" w:customStyle="1" w:styleId="15">
    <w:name w:val="标题 3 字符"/>
    <w:basedOn w:val="10"/>
    <w:link w:val="3"/>
    <w:qFormat/>
    <w:uiPriority w:val="9"/>
    <w:rPr>
      <w:rFonts w:ascii="Times New Roman" w:hAnsi="Times New Roman" w:eastAsia="宋体"/>
      <w:b/>
      <w:bCs/>
      <w:sz w:val="28"/>
      <w:szCs w:val="28"/>
    </w:rPr>
  </w:style>
  <w:style w:type="paragraph" w:customStyle="1" w:styleId="16">
    <w:name w:val="列出段落1"/>
    <w:basedOn w:val="1"/>
    <w:qFormat/>
    <w:uiPriority w:val="34"/>
    <w:pPr>
      <w:ind w:firstLine="420" w:firstLineChars="200"/>
    </w:pPr>
    <w:rPr>
      <w:rFonts w:asciiTheme="minorHAnsi" w:hAnsiTheme="minorHAnsi" w:eastAsiaTheme="minorEastAsia"/>
    </w:rPr>
  </w:style>
  <w:style w:type="paragraph" w:styleId="17">
    <w:name w:val="List Paragraph"/>
    <w:basedOn w:val="1"/>
    <w:qFormat/>
    <w:uiPriority w:val="34"/>
    <w:pPr>
      <w:spacing w:line="360" w:lineRule="auto"/>
      <w:ind w:firstLine="480" w:firstLineChars="200"/>
    </w:pPr>
    <w:rPr>
      <w:rFonts w:ascii="宋体" w:hAnsi="宋体" w:cs="Times New Roman"/>
      <w:sz w:val="24"/>
      <w:szCs w:val="24"/>
    </w:rPr>
  </w:style>
  <w:style w:type="paragraph" w:customStyle="1" w:styleId="18">
    <w:name w:val="修订1"/>
    <w:hidden/>
    <w:unhideWhenUsed/>
    <w:qFormat/>
    <w:uiPriority w:val="99"/>
    <w:rPr>
      <w:rFonts w:ascii="Times New Roman" w:hAnsi="Times New Roman" w:eastAsia="宋体" w:cstheme="minorBidi"/>
      <w:kern w:val="2"/>
      <w:sz w:val="21"/>
      <w:szCs w:val="22"/>
      <w:lang w:val="en-US" w:eastAsia="zh-CN" w:bidi="ar-SA"/>
    </w:rPr>
  </w:style>
  <w:style w:type="character" w:customStyle="1" w:styleId="19">
    <w:name w:val="批注文字 字符"/>
    <w:basedOn w:val="10"/>
    <w:link w:val="4"/>
    <w:qFormat/>
    <w:uiPriority w:val="99"/>
    <w:rPr>
      <w:rFonts w:ascii="Times New Roman" w:hAnsi="Times New Roman" w:eastAsia="宋体"/>
      <w:kern w:val="2"/>
      <w:sz w:val="21"/>
      <w:szCs w:val="22"/>
    </w:rPr>
  </w:style>
  <w:style w:type="character" w:customStyle="1" w:styleId="20">
    <w:name w:val="批注主题 字符"/>
    <w:basedOn w:val="19"/>
    <w:link w:val="7"/>
    <w:semiHidden/>
    <w:qFormat/>
    <w:uiPriority w:val="99"/>
    <w:rPr>
      <w:rFonts w:ascii="Times New Roman" w:hAnsi="Times New Roman" w:eastAsia="宋体"/>
      <w:b/>
      <w:bCs/>
      <w:kern w:val="2"/>
      <w:sz w:val="21"/>
      <w:szCs w:val="22"/>
    </w:rPr>
  </w:style>
  <w:style w:type="paragraph" w:customStyle="1" w:styleId="21">
    <w:name w:val="Revision"/>
    <w:hidden/>
    <w:unhideWhenUsed/>
    <w:uiPriority w:val="99"/>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961</Words>
  <Characters>1299</Characters>
  <Lines>162</Lines>
  <Paragraphs>150</Paragraphs>
  <TotalTime>60</TotalTime>
  <ScaleCrop>false</ScaleCrop>
  <LinksUpToDate>false</LinksUpToDate>
  <CharactersWithSpaces>2110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2025-07-29T01:46:00Z</dcterms:created>
  <dc:creator>user</dc:creator>
  <cp:lastModifiedBy>张玲玉</cp:lastModifiedBy>
  <dcterms:modified xsi:type="dcterms:W3CDTF">2025-08-05T05:04:25Z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DEA13E2BA3F246EDB648DDF8E6550FBD</vt:lpwstr>
  </property>
</Properties>
</file>