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400" w:lineRule="exact"/>
        <w:ind w:firstLine="0" w:firstLineChars="0"/>
        <w:outlineLvl w:val="0"/>
        <w:rPr>
          <w:b/>
          <w:bCs/>
          <w:sz w:val="32"/>
          <w:szCs w:val="32"/>
        </w:rPr>
      </w:pPr>
      <w:bookmarkStart w:id="0" w:name="_Toc486408202"/>
      <w:r>
        <w:rPr>
          <w:rFonts w:hint="eastAsia"/>
          <w:b/>
          <w:bCs/>
          <w:sz w:val="32"/>
          <w:szCs w:val="32"/>
        </w:rPr>
        <w:t>项目</w:t>
      </w:r>
      <w:bookmarkEnd w:id="0"/>
      <w:r>
        <w:rPr>
          <w:rFonts w:hint="eastAsia"/>
          <w:b/>
          <w:bCs/>
          <w:sz w:val="32"/>
          <w:szCs w:val="32"/>
        </w:rPr>
        <w:t>概览</w:t>
      </w:r>
    </w:p>
    <w:p>
      <w:pPr>
        <w:rPr>
          <w:szCs w:val="32"/>
        </w:rPr>
      </w:pPr>
      <w:r>
        <w:rPr>
          <w:rFonts w:hint="eastAsia"/>
          <w:szCs w:val="32"/>
        </w:rPr>
        <w:t>为提升网络安全整体防护，提升网络设备稳定运行。</w:t>
      </w:r>
      <w:r>
        <w:rPr>
          <w:szCs w:val="32"/>
        </w:rPr>
        <w:t>通过购买</w:t>
      </w:r>
      <w:r>
        <w:rPr>
          <w:rFonts w:hint="eastAsia"/>
          <w:szCs w:val="32"/>
        </w:rPr>
        <w:t>网络设备和</w:t>
      </w:r>
      <w:r>
        <w:rPr>
          <w:szCs w:val="32"/>
        </w:rPr>
        <w:t>安全设备的</w:t>
      </w:r>
      <w:r>
        <w:rPr>
          <w:rFonts w:hint="eastAsia"/>
          <w:szCs w:val="32"/>
        </w:rPr>
        <w:t>硬件维保</w:t>
      </w:r>
      <w:r>
        <w:rPr>
          <w:szCs w:val="32"/>
        </w:rPr>
        <w:t>和特征库升级服务，保障</w:t>
      </w:r>
      <w:r>
        <w:rPr>
          <w:rFonts w:hint="eastAsia"/>
          <w:szCs w:val="32"/>
        </w:rPr>
        <w:t>网络设备和</w:t>
      </w:r>
      <w:r>
        <w:rPr>
          <w:szCs w:val="32"/>
        </w:rPr>
        <w:t>安全</w:t>
      </w:r>
      <w:r>
        <w:rPr>
          <w:rFonts w:hint="eastAsia"/>
          <w:szCs w:val="32"/>
        </w:rPr>
        <w:t>设备</w:t>
      </w:r>
      <w:r>
        <w:rPr>
          <w:szCs w:val="32"/>
        </w:rPr>
        <w:t>正常稳定运行，</w:t>
      </w:r>
      <w:r>
        <w:rPr>
          <w:rFonts w:hint="eastAsia"/>
          <w:szCs w:val="32"/>
        </w:rPr>
        <w:t>整体</w:t>
      </w:r>
      <w:r>
        <w:rPr>
          <w:szCs w:val="32"/>
        </w:rPr>
        <w:t>提升</w:t>
      </w:r>
      <w:r>
        <w:rPr>
          <w:rFonts w:hint="eastAsia"/>
          <w:szCs w:val="32"/>
        </w:rPr>
        <w:t>我院</w:t>
      </w:r>
      <w:r>
        <w:rPr>
          <w:szCs w:val="32"/>
        </w:rPr>
        <w:t>信息安全等级。</w:t>
      </w:r>
      <w:r>
        <w:rPr>
          <w:rFonts w:hint="eastAsia"/>
          <w:szCs w:val="32"/>
        </w:rPr>
        <w:t>本次</w:t>
      </w:r>
      <w:r>
        <w:rPr>
          <w:szCs w:val="32"/>
        </w:rPr>
        <w:t>涉及</w:t>
      </w:r>
      <w:r>
        <w:rPr>
          <w:rFonts w:hint="eastAsia"/>
          <w:szCs w:val="32"/>
        </w:rPr>
        <w:t>7</w:t>
      </w:r>
      <w:r>
        <w:rPr>
          <w:szCs w:val="32"/>
        </w:rPr>
        <w:t>台安全设备一年期的</w:t>
      </w:r>
      <w:r>
        <w:rPr>
          <w:rFonts w:hint="eastAsia"/>
          <w:szCs w:val="32"/>
        </w:rPr>
        <w:t>硬件</w:t>
      </w:r>
      <w:r>
        <w:rPr>
          <w:szCs w:val="32"/>
        </w:rPr>
        <w:t>维保和特征库升级</w:t>
      </w:r>
      <w:r>
        <w:rPr>
          <w:rFonts w:hint="eastAsia"/>
          <w:szCs w:val="32"/>
        </w:rPr>
        <w:t>服务、2台核心交换机设备和1台VPN设备硬件维保及软件升级服务。</w:t>
      </w:r>
    </w:p>
    <w:p>
      <w:pPr>
        <w:numPr>
          <w:ilvl w:val="0"/>
          <w:numId w:val="2"/>
        </w:numPr>
        <w:spacing w:line="400" w:lineRule="exact"/>
        <w:ind w:firstLine="0" w:firstLineChars="0"/>
        <w:outlineLvl w:val="0"/>
        <w:rPr>
          <w:b/>
          <w:bCs/>
          <w:sz w:val="32"/>
          <w:szCs w:val="32"/>
        </w:rPr>
      </w:pPr>
      <w:bookmarkStart w:id="1" w:name="_Toc486408200"/>
      <w:r>
        <w:rPr>
          <w:rFonts w:hint="eastAsia"/>
          <w:b/>
          <w:bCs/>
          <w:sz w:val="32"/>
          <w:szCs w:val="32"/>
        </w:rPr>
        <w:t>服务内容</w:t>
      </w:r>
      <w:bookmarkEnd w:id="1"/>
    </w:p>
    <w:p>
      <w:pPr>
        <w:numPr>
          <w:ilvl w:val="0"/>
          <w:numId w:val="3"/>
        </w:numPr>
        <w:ind w:firstLineChars="0"/>
      </w:pPr>
      <w:r>
        <w:rPr>
          <w:rFonts w:hint="eastAsia"/>
        </w:rPr>
        <w:t>提供1年网络设备和安全设备7*24原厂</w:t>
      </w:r>
      <w:r>
        <w:t>维保服务</w:t>
      </w:r>
      <w:r>
        <w:rPr>
          <w:rFonts w:hint="eastAsia"/>
        </w:rPr>
        <w:t>。</w:t>
      </w:r>
    </w:p>
    <w:p>
      <w:pPr>
        <w:numPr>
          <w:ilvl w:val="0"/>
          <w:numId w:val="3"/>
        </w:numPr>
        <w:ind w:firstLineChars="0"/>
        <w:rPr>
          <w:rFonts w:hint="eastAsia"/>
        </w:rPr>
      </w:pPr>
      <w:r>
        <w:rPr>
          <w:rFonts w:hint="eastAsia"/>
        </w:rPr>
        <w:t>投标人有稳定的工作场地和工作人员，可</w:t>
      </w:r>
      <w:r>
        <w:rPr>
          <w:rFonts w:hint="eastAsia"/>
          <w:lang w:val="en-US" w:eastAsia="zh-CN"/>
        </w:rPr>
        <w:t>1</w:t>
      </w:r>
      <w:r>
        <w:rPr>
          <w:rFonts w:hint="eastAsia"/>
        </w:rPr>
        <w:t>小时内做出响应，可</w:t>
      </w:r>
      <w:r>
        <w:rPr>
          <w:rFonts w:hint="eastAsia"/>
          <w:lang w:val="en-US" w:eastAsia="zh-CN"/>
        </w:rPr>
        <w:t>2</w:t>
      </w:r>
      <w:r>
        <w:rPr>
          <w:rFonts w:hint="eastAsia"/>
        </w:rPr>
        <w:t>小时内到达现场。</w:t>
      </w:r>
    </w:p>
    <w:p>
      <w:pPr>
        <w:numPr>
          <w:ilvl w:val="0"/>
          <w:numId w:val="3"/>
        </w:numPr>
        <w:ind w:firstLineChars="0"/>
        <w:rPr>
          <w:rFonts w:hint="eastAsia"/>
        </w:rPr>
      </w:pPr>
      <w:r>
        <w:rPr>
          <w:rFonts w:hint="eastAsia"/>
        </w:rPr>
        <w:t>投标人有独立的备件库，可</w:t>
      </w:r>
      <w:r>
        <w:rPr>
          <w:rFonts w:hint="eastAsia"/>
          <w:lang w:val="en-US" w:eastAsia="zh-CN"/>
        </w:rPr>
        <w:t>1</w:t>
      </w:r>
      <w:r>
        <w:rPr>
          <w:rFonts w:hint="eastAsia"/>
        </w:rPr>
        <w:t>小时内做出响应，可</w:t>
      </w:r>
      <w:r>
        <w:rPr>
          <w:rFonts w:hint="eastAsia"/>
          <w:lang w:val="en-US" w:eastAsia="zh-CN"/>
        </w:rPr>
        <w:t>2</w:t>
      </w:r>
      <w:r>
        <w:rPr>
          <w:rFonts w:hint="eastAsia"/>
        </w:rPr>
        <w:t>小时内送达现场。</w:t>
      </w:r>
    </w:p>
    <w:p>
      <w:pPr>
        <w:numPr>
          <w:ilvl w:val="0"/>
          <w:numId w:val="3"/>
        </w:numPr>
        <w:ind w:firstLineChars="0"/>
        <w:rPr>
          <w:rFonts w:hint="eastAsia"/>
        </w:rPr>
      </w:pPr>
      <w:r>
        <w:rPr>
          <w:rFonts w:hint="eastAsia"/>
        </w:rPr>
        <w:t>投标人具有ISO9001或ISO20000</w:t>
      </w:r>
      <w:r>
        <w:rPr>
          <w:rFonts w:hint="eastAsia"/>
        </w:rPr>
        <w:t>或ISO27001</w:t>
      </w:r>
      <w:r>
        <w:rPr>
          <w:rFonts w:hint="eastAsia"/>
        </w:rPr>
        <w:t>等相关认证证书</w:t>
      </w:r>
      <w:r>
        <w:rPr>
          <w:rFonts w:hint="eastAsia"/>
        </w:rPr>
        <w:t>。</w:t>
      </w:r>
    </w:p>
    <w:p>
      <w:pPr>
        <w:numPr>
          <w:ilvl w:val="0"/>
          <w:numId w:val="3"/>
        </w:numPr>
        <w:ind w:firstLineChars="0"/>
        <w:rPr>
          <w:rFonts w:hint="eastAsia"/>
        </w:rPr>
      </w:pPr>
      <w:r>
        <w:rPr>
          <w:rFonts w:hint="eastAsia"/>
          <w:lang w:val="zh-CN"/>
        </w:rPr>
        <w:t>投标人应具备</w:t>
      </w:r>
      <w:r>
        <w:rPr>
          <w:rFonts w:hint="eastAsia"/>
        </w:rPr>
        <w:t>核心交换机、</w:t>
      </w:r>
      <w:r>
        <w:rPr>
          <w:rFonts w:hint="eastAsia"/>
          <w:lang w:val="zh-CN"/>
        </w:rPr>
        <w:t>防火墙等设备维保相</w:t>
      </w:r>
      <w:bookmarkStart w:id="2" w:name="_GoBack"/>
      <w:bookmarkEnd w:id="2"/>
      <w:r>
        <w:rPr>
          <w:rFonts w:hint="eastAsia"/>
          <w:lang w:val="zh-CN"/>
        </w:rPr>
        <w:t>关服务经验，并提供本次维保范围内涉及产品的备品备件。</w:t>
      </w:r>
      <w:r>
        <w:rPr>
          <w:rFonts w:hint="eastAsia"/>
        </w:rPr>
        <w:t xml:space="preserve"> </w:t>
      </w:r>
    </w:p>
    <w:p>
      <w:pPr>
        <w:numPr>
          <w:ilvl w:val="0"/>
          <w:numId w:val="3"/>
        </w:numPr>
        <w:ind w:firstLineChars="0"/>
        <w:rPr>
          <w:rFonts w:hint="eastAsia"/>
        </w:rPr>
      </w:pPr>
      <w:r>
        <w:rPr>
          <w:rFonts w:hint="eastAsia"/>
          <w:lang w:val="zh-CN"/>
        </w:rPr>
        <w:t>投标人应保证除核心交换机外的其他设备为原厂技术支持服务并提供相应证明材料。</w:t>
      </w:r>
    </w:p>
    <w:p>
      <w:pPr>
        <w:numPr>
          <w:ilvl w:val="0"/>
          <w:numId w:val="2"/>
        </w:numPr>
        <w:spacing w:line="400" w:lineRule="exact"/>
        <w:ind w:firstLine="0" w:firstLineChars="0"/>
        <w:outlineLvl w:val="0"/>
        <w:rPr>
          <w:b/>
          <w:bCs/>
          <w:sz w:val="32"/>
          <w:szCs w:val="32"/>
        </w:rPr>
      </w:pPr>
      <w:r>
        <w:rPr>
          <w:rFonts w:hint="eastAsia"/>
          <w:b/>
          <w:bCs/>
          <w:sz w:val="32"/>
          <w:szCs w:val="32"/>
        </w:rPr>
        <w:t>设备清单</w:t>
      </w:r>
    </w:p>
    <w:tbl>
      <w:tblPr>
        <w:tblStyle w:val="12"/>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45"/>
        <w:gridCol w:w="1318"/>
        <w:gridCol w:w="1956"/>
        <w:gridCol w:w="192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jc w:val="center"/>
        </w:trPr>
        <w:tc>
          <w:tcPr>
            <w:tcW w:w="2345" w:type="dxa"/>
            <w:shd w:val="clear" w:color="auto" w:fill="auto"/>
            <w:vAlign w:val="center"/>
          </w:tcPr>
          <w:p>
            <w:pPr>
              <w:spacing w:line="400" w:lineRule="exact"/>
              <w:ind w:firstLine="0" w:firstLineChars="0"/>
              <w:jc w:val="center"/>
              <w:rPr>
                <w:b/>
              </w:rPr>
            </w:pPr>
            <w:r>
              <w:rPr>
                <w:rFonts w:hint="eastAsia"/>
                <w:b/>
              </w:rPr>
              <w:t>设备名称及版本</w:t>
            </w:r>
          </w:p>
        </w:tc>
        <w:tc>
          <w:tcPr>
            <w:tcW w:w="1318" w:type="dxa"/>
            <w:shd w:val="clear" w:color="auto" w:fill="auto"/>
            <w:vAlign w:val="center"/>
          </w:tcPr>
          <w:p>
            <w:pPr>
              <w:spacing w:line="400" w:lineRule="exact"/>
              <w:ind w:firstLine="0" w:firstLineChars="0"/>
              <w:jc w:val="center"/>
              <w:rPr>
                <w:b/>
              </w:rPr>
            </w:pPr>
            <w:r>
              <w:rPr>
                <w:rFonts w:hint="eastAsia"/>
                <w:b/>
              </w:rPr>
              <w:t>设备厂商</w:t>
            </w:r>
          </w:p>
        </w:tc>
        <w:tc>
          <w:tcPr>
            <w:tcW w:w="1956" w:type="dxa"/>
            <w:shd w:val="clear" w:color="auto" w:fill="auto"/>
            <w:vAlign w:val="center"/>
          </w:tcPr>
          <w:p>
            <w:pPr>
              <w:spacing w:line="400" w:lineRule="exact"/>
              <w:ind w:firstLine="0" w:firstLineChars="0"/>
              <w:jc w:val="center"/>
              <w:rPr>
                <w:b/>
              </w:rPr>
            </w:pPr>
            <w:r>
              <w:rPr>
                <w:rFonts w:hint="eastAsia"/>
                <w:b/>
              </w:rPr>
              <w:t>设备型号</w:t>
            </w:r>
          </w:p>
        </w:tc>
        <w:tc>
          <w:tcPr>
            <w:tcW w:w="1925" w:type="dxa"/>
            <w:shd w:val="clear" w:color="auto" w:fill="auto"/>
            <w:vAlign w:val="center"/>
          </w:tcPr>
          <w:p>
            <w:pPr>
              <w:spacing w:line="400" w:lineRule="exact"/>
              <w:ind w:firstLine="0" w:firstLineChars="0"/>
              <w:jc w:val="center"/>
              <w:rPr>
                <w:b/>
              </w:rPr>
            </w:pPr>
            <w:r>
              <w:rPr>
                <w:rFonts w:hint="eastAsia"/>
                <w:b/>
              </w:rPr>
              <w:t>续保内容</w:t>
            </w:r>
          </w:p>
        </w:tc>
        <w:tc>
          <w:tcPr>
            <w:tcW w:w="788" w:type="dxa"/>
            <w:shd w:val="clear" w:color="auto" w:fill="auto"/>
            <w:vAlign w:val="center"/>
          </w:tcPr>
          <w:p>
            <w:pPr>
              <w:spacing w:line="400" w:lineRule="exact"/>
              <w:ind w:firstLine="0" w:firstLineChars="0"/>
              <w:jc w:val="center"/>
              <w:rPr>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345" w:type="dxa"/>
            <w:vAlign w:val="center"/>
          </w:tcPr>
          <w:p>
            <w:pPr>
              <w:ind w:firstLine="0" w:firstLineChars="0"/>
              <w:jc w:val="center"/>
            </w:pPr>
            <w:r>
              <w:rPr>
                <w:rFonts w:hint="eastAsia"/>
              </w:rPr>
              <w:t>天玥网络安全审计系统V6.0</w:t>
            </w:r>
          </w:p>
        </w:tc>
        <w:tc>
          <w:tcPr>
            <w:tcW w:w="1318" w:type="dxa"/>
            <w:vAlign w:val="center"/>
          </w:tcPr>
          <w:p>
            <w:pPr>
              <w:ind w:firstLine="0" w:firstLineChars="0"/>
              <w:jc w:val="center"/>
            </w:pPr>
            <w:r>
              <w:rPr>
                <w:rFonts w:hint="eastAsia"/>
              </w:rPr>
              <w:t>启明星辰</w:t>
            </w:r>
          </w:p>
        </w:tc>
        <w:tc>
          <w:tcPr>
            <w:tcW w:w="1956" w:type="dxa"/>
            <w:vAlign w:val="center"/>
          </w:tcPr>
          <w:p>
            <w:pPr>
              <w:ind w:firstLine="0" w:firstLineChars="0"/>
              <w:jc w:val="center"/>
            </w:pPr>
            <w:r>
              <w:rPr>
                <w:rFonts w:hint="eastAsia"/>
              </w:rPr>
              <w:t>CA2300ER+SR</w:t>
            </w:r>
          </w:p>
        </w:tc>
        <w:tc>
          <w:tcPr>
            <w:tcW w:w="1925" w:type="dxa"/>
            <w:vAlign w:val="center"/>
          </w:tcPr>
          <w:p>
            <w:pPr>
              <w:ind w:firstLine="0" w:firstLineChars="0"/>
              <w:jc w:val="center"/>
            </w:pPr>
            <w:r>
              <w:rPr>
                <w:rFonts w:hint="eastAsia"/>
              </w:rPr>
              <w:t>硬件+特征库</w:t>
            </w:r>
          </w:p>
        </w:tc>
        <w:tc>
          <w:tcPr>
            <w:tcW w:w="788" w:type="dxa"/>
            <w:vAlign w:val="center"/>
          </w:tcPr>
          <w:p>
            <w:pPr>
              <w:ind w:firstLine="0" w:firstLineChars="0"/>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345" w:type="dxa"/>
            <w:vAlign w:val="center"/>
          </w:tcPr>
          <w:p>
            <w:pPr>
              <w:ind w:firstLine="0" w:firstLineChars="0"/>
              <w:jc w:val="center"/>
            </w:pPr>
            <w:r>
              <w:rPr>
                <w:rFonts w:hint="eastAsia"/>
              </w:rPr>
              <w:t>天阗入侵检测与管理系统V7.0</w:t>
            </w:r>
          </w:p>
        </w:tc>
        <w:tc>
          <w:tcPr>
            <w:tcW w:w="1318" w:type="dxa"/>
            <w:vAlign w:val="center"/>
          </w:tcPr>
          <w:p>
            <w:pPr>
              <w:ind w:firstLine="0" w:firstLineChars="0"/>
              <w:jc w:val="center"/>
            </w:pPr>
            <w:r>
              <w:rPr>
                <w:rFonts w:hint="eastAsia"/>
              </w:rPr>
              <w:t>启明星辰</w:t>
            </w:r>
          </w:p>
        </w:tc>
        <w:tc>
          <w:tcPr>
            <w:tcW w:w="1956" w:type="dxa"/>
            <w:vAlign w:val="center"/>
          </w:tcPr>
          <w:p>
            <w:pPr>
              <w:ind w:firstLine="0" w:firstLineChars="0"/>
              <w:jc w:val="center"/>
            </w:pPr>
            <w:r>
              <w:rPr>
                <w:rFonts w:hint="eastAsia"/>
              </w:rPr>
              <w:t>NT3000-VPSB2S</w:t>
            </w:r>
          </w:p>
        </w:tc>
        <w:tc>
          <w:tcPr>
            <w:tcW w:w="1925" w:type="dxa"/>
            <w:vAlign w:val="center"/>
          </w:tcPr>
          <w:p>
            <w:pPr>
              <w:ind w:firstLine="0" w:firstLineChars="0"/>
              <w:jc w:val="center"/>
            </w:pPr>
            <w:r>
              <w:rPr>
                <w:rFonts w:hint="eastAsia"/>
              </w:rPr>
              <w:t>硬件+特征库</w:t>
            </w:r>
          </w:p>
        </w:tc>
        <w:tc>
          <w:tcPr>
            <w:tcW w:w="788" w:type="dxa"/>
            <w:vAlign w:val="center"/>
          </w:tcPr>
          <w:p>
            <w:pPr>
              <w:ind w:firstLine="0" w:firstLineChars="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345" w:type="dxa"/>
            <w:vAlign w:val="center"/>
          </w:tcPr>
          <w:p>
            <w:pPr>
              <w:ind w:firstLine="0" w:firstLineChars="0"/>
              <w:jc w:val="center"/>
            </w:pPr>
            <w:r>
              <w:rPr>
                <w:rFonts w:hint="eastAsia"/>
              </w:rPr>
              <w:t>天融信万兆防火墙系统V3</w:t>
            </w:r>
          </w:p>
        </w:tc>
        <w:tc>
          <w:tcPr>
            <w:tcW w:w="1318" w:type="dxa"/>
            <w:vAlign w:val="center"/>
          </w:tcPr>
          <w:p>
            <w:pPr>
              <w:ind w:firstLine="0" w:firstLineChars="0"/>
              <w:jc w:val="center"/>
            </w:pPr>
            <w:r>
              <w:rPr>
                <w:rFonts w:hint="eastAsia"/>
              </w:rPr>
              <w:t>天融信</w:t>
            </w:r>
          </w:p>
        </w:tc>
        <w:tc>
          <w:tcPr>
            <w:tcW w:w="1956" w:type="dxa"/>
            <w:vAlign w:val="center"/>
          </w:tcPr>
          <w:p>
            <w:pPr>
              <w:ind w:firstLine="0" w:firstLineChars="0"/>
              <w:jc w:val="center"/>
            </w:pPr>
            <w:r>
              <w:rPr>
                <w:rFonts w:hint="eastAsia"/>
              </w:rPr>
              <w:t>NGFW4000-UF</w:t>
            </w:r>
          </w:p>
        </w:tc>
        <w:tc>
          <w:tcPr>
            <w:tcW w:w="1925" w:type="dxa"/>
            <w:vAlign w:val="center"/>
          </w:tcPr>
          <w:p>
            <w:pPr>
              <w:ind w:firstLine="0" w:firstLineChars="0"/>
              <w:jc w:val="center"/>
            </w:pPr>
            <w:r>
              <w:rPr>
                <w:rFonts w:hint="eastAsia"/>
              </w:rPr>
              <w:t>硬件+特征库</w:t>
            </w:r>
          </w:p>
        </w:tc>
        <w:tc>
          <w:tcPr>
            <w:tcW w:w="788" w:type="dxa"/>
            <w:vAlign w:val="center"/>
          </w:tcPr>
          <w:p>
            <w:pPr>
              <w:ind w:firstLine="0" w:firstLineChars="0"/>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345" w:type="dxa"/>
            <w:vAlign w:val="center"/>
          </w:tcPr>
          <w:p>
            <w:pPr>
              <w:ind w:firstLine="0" w:firstLineChars="0"/>
              <w:jc w:val="center"/>
            </w:pPr>
            <w:r>
              <w:rPr>
                <w:rFonts w:hint="eastAsia"/>
              </w:rPr>
              <w:t>天融信千兆防火墙系统V3</w:t>
            </w:r>
          </w:p>
        </w:tc>
        <w:tc>
          <w:tcPr>
            <w:tcW w:w="1318" w:type="dxa"/>
            <w:vAlign w:val="center"/>
          </w:tcPr>
          <w:p>
            <w:pPr>
              <w:ind w:firstLine="0" w:firstLineChars="0"/>
              <w:jc w:val="center"/>
            </w:pPr>
            <w:r>
              <w:rPr>
                <w:rFonts w:hint="eastAsia"/>
              </w:rPr>
              <w:t>天融信</w:t>
            </w:r>
          </w:p>
        </w:tc>
        <w:tc>
          <w:tcPr>
            <w:tcW w:w="1956" w:type="dxa"/>
            <w:vAlign w:val="center"/>
          </w:tcPr>
          <w:p>
            <w:pPr>
              <w:ind w:firstLine="0" w:firstLineChars="0"/>
              <w:jc w:val="center"/>
            </w:pPr>
            <w:r>
              <w:rPr>
                <w:rFonts w:hint="eastAsia"/>
              </w:rPr>
              <w:t>NGFW4000-UF</w:t>
            </w:r>
          </w:p>
        </w:tc>
        <w:tc>
          <w:tcPr>
            <w:tcW w:w="1925" w:type="dxa"/>
            <w:vAlign w:val="center"/>
          </w:tcPr>
          <w:p>
            <w:pPr>
              <w:ind w:firstLine="0" w:firstLineChars="0"/>
              <w:jc w:val="center"/>
            </w:pPr>
            <w:r>
              <w:rPr>
                <w:rFonts w:hint="eastAsia"/>
              </w:rPr>
              <w:t>硬件+特征库</w:t>
            </w:r>
          </w:p>
        </w:tc>
        <w:tc>
          <w:tcPr>
            <w:tcW w:w="788" w:type="dxa"/>
            <w:vAlign w:val="center"/>
          </w:tcPr>
          <w:p>
            <w:pPr>
              <w:ind w:firstLine="0" w:firstLineChars="0"/>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345" w:type="dxa"/>
            <w:vAlign w:val="center"/>
          </w:tcPr>
          <w:p>
            <w:pPr>
              <w:ind w:firstLine="0" w:firstLineChars="0"/>
              <w:jc w:val="center"/>
            </w:pPr>
            <w:r>
              <w:rPr>
                <w:rFonts w:hint="eastAsia"/>
              </w:rPr>
              <w:t>VPN</w:t>
            </w:r>
          </w:p>
        </w:tc>
        <w:tc>
          <w:tcPr>
            <w:tcW w:w="1318" w:type="dxa"/>
            <w:vAlign w:val="center"/>
          </w:tcPr>
          <w:p>
            <w:pPr>
              <w:ind w:firstLine="0" w:firstLineChars="0"/>
              <w:jc w:val="center"/>
            </w:pPr>
            <w:r>
              <w:rPr>
                <w:rFonts w:hint="eastAsia"/>
              </w:rPr>
              <w:t>深信服</w:t>
            </w:r>
          </w:p>
        </w:tc>
        <w:tc>
          <w:tcPr>
            <w:tcW w:w="1956" w:type="dxa"/>
            <w:vAlign w:val="center"/>
          </w:tcPr>
          <w:p>
            <w:pPr>
              <w:ind w:firstLine="0" w:firstLineChars="0"/>
              <w:jc w:val="center"/>
            </w:pPr>
            <w:r>
              <w:rPr>
                <w:rFonts w:hint="eastAsia"/>
              </w:rPr>
              <w:t>VPN-4650-D</w:t>
            </w:r>
          </w:p>
        </w:tc>
        <w:tc>
          <w:tcPr>
            <w:tcW w:w="1925" w:type="dxa"/>
            <w:vAlign w:val="center"/>
          </w:tcPr>
          <w:p>
            <w:pPr>
              <w:ind w:firstLine="0" w:firstLineChars="0"/>
              <w:jc w:val="center"/>
            </w:pPr>
            <w:r>
              <w:rPr>
                <w:rFonts w:hint="eastAsia"/>
              </w:rPr>
              <w:t>硬件+软件</w:t>
            </w:r>
          </w:p>
        </w:tc>
        <w:tc>
          <w:tcPr>
            <w:tcW w:w="788" w:type="dxa"/>
            <w:vAlign w:val="center"/>
          </w:tcPr>
          <w:p>
            <w:pPr>
              <w:ind w:firstLine="0" w:firstLineChars="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345" w:type="dxa"/>
            <w:vAlign w:val="center"/>
          </w:tcPr>
          <w:p>
            <w:pPr>
              <w:ind w:firstLine="0" w:firstLineChars="0"/>
              <w:jc w:val="center"/>
            </w:pPr>
            <w:r>
              <w:rPr>
                <w:rFonts w:hint="eastAsia"/>
              </w:rPr>
              <w:t>核心交换机</w:t>
            </w:r>
          </w:p>
        </w:tc>
        <w:tc>
          <w:tcPr>
            <w:tcW w:w="1318" w:type="dxa"/>
            <w:vAlign w:val="center"/>
          </w:tcPr>
          <w:p>
            <w:pPr>
              <w:ind w:firstLine="0" w:firstLineChars="0"/>
              <w:jc w:val="center"/>
            </w:pPr>
            <w:r>
              <w:rPr>
                <w:rFonts w:hint="eastAsia"/>
              </w:rPr>
              <w:t>思科</w:t>
            </w:r>
          </w:p>
        </w:tc>
        <w:tc>
          <w:tcPr>
            <w:tcW w:w="1956" w:type="dxa"/>
            <w:vAlign w:val="center"/>
          </w:tcPr>
          <w:p>
            <w:pPr>
              <w:ind w:firstLine="0" w:firstLineChars="0"/>
              <w:jc w:val="center"/>
            </w:pPr>
            <w:r>
              <w:rPr>
                <w:rFonts w:hint="eastAsia"/>
              </w:rPr>
              <w:t>C6509</w:t>
            </w:r>
          </w:p>
        </w:tc>
        <w:tc>
          <w:tcPr>
            <w:tcW w:w="1925" w:type="dxa"/>
            <w:vAlign w:val="center"/>
          </w:tcPr>
          <w:p>
            <w:pPr>
              <w:ind w:firstLine="0" w:firstLineChars="0"/>
              <w:jc w:val="center"/>
            </w:pPr>
            <w:r>
              <w:rPr>
                <w:rFonts w:hint="eastAsia"/>
              </w:rPr>
              <w:t>硬件+软件</w:t>
            </w:r>
          </w:p>
        </w:tc>
        <w:tc>
          <w:tcPr>
            <w:tcW w:w="788" w:type="dxa"/>
            <w:vAlign w:val="center"/>
          </w:tcPr>
          <w:p>
            <w:pPr>
              <w:ind w:firstLine="0" w:firstLineChars="0"/>
              <w:jc w:val="center"/>
            </w:pPr>
            <w:r>
              <w:rPr>
                <w:rFonts w:hint="eastAsia"/>
              </w:rPr>
              <w:t>2</w:t>
            </w:r>
          </w:p>
        </w:tc>
      </w:tr>
    </w:tbl>
    <w:p>
      <w:pPr>
        <w:spacing w:line="400" w:lineRule="exact"/>
      </w:pPr>
    </w:p>
    <w:p>
      <w:pPr>
        <w:spacing w:line="400" w:lineRule="exact"/>
      </w:pPr>
    </w:p>
    <w:p>
      <w:pPr>
        <w:numPr>
          <w:ilvl w:val="255"/>
          <w:numId w:val="0"/>
        </w:numPr>
        <w:spacing w:line="400" w:lineRule="exact"/>
        <w:ind w:firstLine="643" w:firstLineChars="200"/>
        <w:outlineLvl w:val="0"/>
        <w:rPr>
          <w:b/>
          <w:bCs/>
          <w:sz w:val="32"/>
          <w:szCs w:val="32"/>
        </w:rPr>
      </w:pPr>
      <w:r>
        <w:rPr>
          <w:rFonts w:hint="eastAsia"/>
          <w:b/>
          <w:bCs/>
          <w:sz w:val="32"/>
          <w:szCs w:val="32"/>
        </w:rPr>
        <w:t>评分标准</w:t>
      </w:r>
    </w:p>
    <w:tbl>
      <w:tblPr>
        <w:tblStyle w:val="12"/>
        <w:tblW w:w="5000" w:type="pct"/>
        <w:tblInd w:w="0" w:type="dxa"/>
        <w:tblLayout w:type="autofit"/>
        <w:tblCellMar>
          <w:top w:w="0" w:type="dxa"/>
          <w:left w:w="108" w:type="dxa"/>
          <w:bottom w:w="0" w:type="dxa"/>
          <w:right w:w="108" w:type="dxa"/>
        </w:tblCellMar>
      </w:tblPr>
      <w:tblGrid>
        <w:gridCol w:w="1222"/>
        <w:gridCol w:w="1682"/>
        <w:gridCol w:w="731"/>
        <w:gridCol w:w="4887"/>
      </w:tblGrid>
      <w:tr>
        <w:tblPrEx>
          <w:tblCellMar>
            <w:top w:w="0" w:type="dxa"/>
            <w:left w:w="108" w:type="dxa"/>
            <w:bottom w:w="0" w:type="dxa"/>
            <w:right w:w="108" w:type="dxa"/>
          </w:tblCellMar>
        </w:tblPrEx>
        <w:trPr>
          <w:tblHeader/>
        </w:trPr>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内容</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评分因素分项</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分值</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9"/>
              <w:jc w:val="center"/>
              <w:rPr>
                <w:b/>
                <w:bCs/>
              </w:rPr>
            </w:pPr>
            <w:r>
              <w:rPr>
                <w:rFonts w:hint="eastAsia"/>
                <w:b/>
                <w:bCs/>
              </w:rPr>
              <w:t>评分因素分项</w:t>
            </w:r>
          </w:p>
        </w:tc>
      </w:tr>
      <w:tr>
        <w:tblPrEx>
          <w:tblCellMar>
            <w:top w:w="0" w:type="dxa"/>
            <w:left w:w="108" w:type="dxa"/>
            <w:bottom w:w="0" w:type="dxa"/>
            <w:right w:w="108" w:type="dxa"/>
          </w:tblCellMar>
        </w:tblPrEx>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价格部分30分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20" w:leftChars="50" w:firstLine="0" w:firstLineChars="0"/>
            </w:pPr>
            <w:r>
              <w:rPr>
                <w:rFonts w:hint="eastAsia"/>
              </w:rPr>
              <w:t>评标价格</w:t>
            </w:r>
            <w:r>
              <w:rPr>
                <w:rFonts w:hint="eastAsia"/>
              </w:rPr>
              <w:br w:type="textWrapping"/>
            </w:r>
            <w:r>
              <w:rPr>
                <w:rFonts w:hint="eastAsia"/>
              </w:rPr>
              <w:t>【客观】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20" w:firstLineChars="50"/>
            </w:pPr>
            <w:r>
              <w:rPr>
                <w:rFonts w:hint="eastAsia"/>
              </w:rPr>
              <w:t>30</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rPr>
              <w:t>满足遴选文件要求且投标价格最低的投标报价为评标基准价，其价格分为满分。其他投标人的价格分统一按照下列公式计算：</w:t>
            </w:r>
            <w:r>
              <w:rPr>
                <w:rFonts w:hint="eastAsia"/>
              </w:rPr>
              <w:br w:type="textWrapping"/>
            </w:r>
            <w:r>
              <w:rPr>
                <w:rFonts w:hint="eastAsia"/>
              </w:rPr>
              <w:t>投标报价得分＝（评标基准价/投标报价）×30</w:t>
            </w:r>
          </w:p>
        </w:tc>
      </w:tr>
      <w:tr>
        <w:tblPrEx>
          <w:tblCellMar>
            <w:top w:w="0" w:type="dxa"/>
            <w:left w:w="108" w:type="dxa"/>
            <w:bottom w:w="0" w:type="dxa"/>
            <w:right w:w="108" w:type="dxa"/>
          </w:tblCellMar>
        </w:tblPrEx>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商务部分15分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20" w:firstLineChars="50"/>
            </w:pPr>
            <w:r>
              <w:rPr>
                <w:rFonts w:hint="eastAsia"/>
              </w:rPr>
              <w:t>同类项目</w:t>
            </w:r>
          </w:p>
          <w:p>
            <w:pPr>
              <w:ind w:left="120" w:leftChars="50" w:firstLine="120" w:firstLineChars="50"/>
            </w:pPr>
            <w:r>
              <w:rPr>
                <w:rFonts w:hint="eastAsia"/>
              </w:rPr>
              <w:t>业绩</w:t>
            </w:r>
            <w:r>
              <w:rPr>
                <w:rFonts w:hint="eastAsia"/>
              </w:rPr>
              <w:br w:type="textWrapping"/>
            </w:r>
            <w:r>
              <w:rPr>
                <w:rFonts w:hint="eastAsia"/>
              </w:rPr>
              <w:t>【客观】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20" w:firstLineChars="50"/>
            </w:pPr>
            <w:r>
              <w:rPr>
                <w:rFonts w:hint="eastAsia"/>
              </w:rPr>
              <w:t>10</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rPr>
              <w:t>根据投标人提供近三年同类业绩进行打分，每有1个业绩得2分，最高得10分。须提供合同复印件，体现合同名称、产品型号以及双方签字盖章页。</w:t>
            </w:r>
          </w:p>
        </w:tc>
      </w:tr>
      <w:tr>
        <w:tblPrEx>
          <w:tblCellMar>
            <w:top w:w="0" w:type="dxa"/>
            <w:left w:w="108" w:type="dxa"/>
            <w:bottom w:w="0" w:type="dxa"/>
            <w:right w:w="108" w:type="dxa"/>
          </w:tblCellMar>
        </w:tblPrEx>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20" w:firstLineChars="50"/>
            </w:pPr>
            <w:r>
              <w:rPr>
                <w:rFonts w:hint="eastAsia"/>
              </w:rPr>
              <w:t>资质认证</w:t>
            </w:r>
            <w:r>
              <w:rPr>
                <w:rFonts w:hint="eastAsia"/>
              </w:rPr>
              <w:br w:type="textWrapping"/>
            </w:r>
            <w:r>
              <w:rPr>
                <w:rFonts w:hint="eastAsia"/>
              </w:rPr>
              <w:t>【客观】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pPr>
            <w:r>
              <w:rPr>
                <w:rFonts w:hint="eastAsia"/>
              </w:rPr>
              <w:t>5</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资质认证：投标人提供</w:t>
            </w:r>
            <w:r>
              <w:t>ISO</w:t>
            </w:r>
            <w:r>
              <w:rPr>
                <w:rFonts w:hint="eastAsia"/>
              </w:rPr>
              <w:t>管理体系认证资质证书复印件,提供一个有效期内证书得1分，最高得1分。</w:t>
            </w:r>
          </w:p>
          <w:p>
            <w:r>
              <w:rPr>
                <w:rFonts w:hint="eastAsia"/>
              </w:rPr>
              <w:t>投标人是所投产品的认证代理商并提供原厂商出具的代理商证明材料，每有一个得2分，共4分。</w:t>
            </w:r>
          </w:p>
        </w:tc>
      </w:tr>
      <w:tr>
        <w:tblPrEx>
          <w:tblCellMar>
            <w:top w:w="0" w:type="dxa"/>
            <w:left w:w="108" w:type="dxa"/>
            <w:bottom w:w="0" w:type="dxa"/>
            <w:right w:w="108" w:type="dxa"/>
          </w:tblCellMar>
        </w:tblPrEx>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rPr>
              <w:t>技术部分</w:t>
            </w:r>
            <w:r>
              <w:t>25</w:t>
            </w:r>
            <w:r>
              <w:rPr>
                <w:rFonts w:hint="eastAsia"/>
              </w:rPr>
              <w:t>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20" w:leftChars="50" w:firstLine="0" w:firstLineChars="0"/>
            </w:pPr>
            <w:r>
              <w:rPr>
                <w:rFonts w:hint="eastAsia"/>
              </w:rPr>
              <w:t>需求响应</w:t>
            </w:r>
            <w:r>
              <w:rPr>
                <w:rFonts w:hint="eastAsia"/>
              </w:rPr>
              <w:br w:type="textWrapping"/>
            </w:r>
            <w:r>
              <w:rPr>
                <w:rFonts w:hint="eastAsia"/>
              </w:rPr>
              <w:t>【客观】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20" w:firstLineChars="50"/>
            </w:pPr>
            <w:r>
              <w:rPr>
                <w:rFonts w:hint="eastAsia"/>
              </w:rPr>
              <w:t>25</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1.完全满足需求文件“2</w:t>
            </w:r>
            <w:r>
              <w:t>.</w:t>
            </w:r>
            <w:r>
              <w:rPr>
                <w:rFonts w:hint="eastAsia"/>
              </w:rPr>
              <w:t>服务内容”的得满分25分。</w:t>
            </w:r>
          </w:p>
          <w:p>
            <w:r>
              <w:rPr>
                <w:rFonts w:hint="eastAsia"/>
              </w:rPr>
              <w:t>2</w:t>
            </w:r>
            <w:r>
              <w:t>.</w:t>
            </w:r>
            <w:r>
              <w:rPr>
                <w:rFonts w:hint="eastAsia"/>
              </w:rPr>
              <w:t>无标记为一般要求(共计 条)，每条负偏离扣  分。</w:t>
            </w:r>
          </w:p>
        </w:tc>
      </w:tr>
      <w:tr>
        <w:tblPrEx>
          <w:tblCellMar>
            <w:top w:w="0" w:type="dxa"/>
            <w:left w:w="108" w:type="dxa"/>
            <w:bottom w:w="0" w:type="dxa"/>
            <w:right w:w="108" w:type="dxa"/>
          </w:tblCellMar>
        </w:tblPrEx>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rPr>
              <w:t>服务部分</w:t>
            </w:r>
            <w:r>
              <w:t>30</w:t>
            </w:r>
            <w:r>
              <w:rPr>
                <w:rFonts w:hint="eastAsia"/>
              </w:rPr>
              <w:t>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rPr>
              <w:t>服务方案</w:t>
            </w:r>
            <w:r>
              <w:rPr>
                <w:rFonts w:hint="eastAsia"/>
              </w:rPr>
              <w:br w:type="textWrapping"/>
            </w:r>
            <w:r>
              <w:rPr>
                <w:rFonts w:hint="eastAsia"/>
              </w:rPr>
              <w:t>【主观】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20" w:firstLineChars="50"/>
            </w:pPr>
            <w:r>
              <w:rPr>
                <w:rFonts w:hint="eastAsia"/>
              </w:rPr>
              <w:t>15</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根据对本项目实际情况的理解和综合分析，对提供服务方案的全面性、专业性、可操作性等方面进行综合评价，包括但不限于：①项目服务计划及具体服务内容；②服务响应时间及到达现场时间；③质量保障方案及风险管理。</w:t>
            </w:r>
          </w:p>
          <w:p>
            <w:r>
              <w:rPr>
                <w:rFonts w:hint="eastAsia"/>
              </w:rPr>
              <w:t>1.对项目理解深刻，服务方案详细且有很强的针对性，可操作性强，方案优秀，得15分；</w:t>
            </w:r>
          </w:p>
          <w:p>
            <w:r>
              <w:rPr>
                <w:rFonts w:hint="eastAsia"/>
              </w:rPr>
              <w:t>2.对项目理解较多，服务方案较为详细且有针对性，可操作性较好，方案良好，得10分；</w:t>
            </w:r>
          </w:p>
          <w:p>
            <w:r>
              <w:rPr>
                <w:rFonts w:hint="eastAsia"/>
              </w:rPr>
              <w:t>3.对项目无理解，服务方案虽阐述但未贴合项目实际情况或内容未包括具体服务细节及措施且无针对性，方案通用，得5分；</w:t>
            </w:r>
          </w:p>
          <w:p>
            <w:r>
              <w:rPr>
                <w:rFonts w:hint="eastAsia"/>
              </w:rPr>
              <w:t>4.内容未进行阐述或不满足服务需求，不得分。</w:t>
            </w:r>
          </w:p>
        </w:tc>
      </w:tr>
      <w:tr>
        <w:tblPrEx>
          <w:tblCellMar>
            <w:top w:w="0" w:type="dxa"/>
            <w:left w:w="108" w:type="dxa"/>
            <w:bottom w:w="0" w:type="dxa"/>
            <w:right w:w="108" w:type="dxa"/>
          </w:tblCellMar>
        </w:tblPrEx>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240" w:leftChars="100" w:firstLine="0" w:firstLineChars="0"/>
            </w:pPr>
            <w:r>
              <w:rPr>
                <w:rFonts w:hint="eastAsia"/>
              </w:rPr>
              <w:t>服务团队</w:t>
            </w:r>
            <w:r>
              <w:rPr>
                <w:rFonts w:hint="eastAsia"/>
              </w:rPr>
              <w:br w:type="textWrapping"/>
            </w:r>
            <w:r>
              <w:rPr>
                <w:rFonts w:hint="eastAsia"/>
              </w:rPr>
              <w:t>【主观】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pPr>
            <w:r>
              <w:t>9</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根据需求技术响应情况，对投标人提供的项目团队人员的分工情况和管理架构、责任划分等进行评价，其中：</w:t>
            </w:r>
          </w:p>
          <w:p>
            <w:r>
              <w:rPr>
                <w:rFonts w:hint="eastAsia"/>
              </w:rPr>
              <w:t>1.投标人提供的项目团队的分工情况和管理架构、责任明确、完整、具体，能完全满足或优于招标文件要求，得</w:t>
            </w:r>
            <w:r>
              <w:t>9</w:t>
            </w:r>
            <w:r>
              <w:rPr>
                <w:rFonts w:hint="eastAsia"/>
              </w:rPr>
              <w:t>分；</w:t>
            </w:r>
          </w:p>
          <w:p>
            <w:r>
              <w:rPr>
                <w:rFonts w:hint="eastAsia"/>
              </w:rPr>
              <w:t>2.投标人提供的项目团队的分工情况和管理架构、责任较为明确、完整、具体，基本满足招标文件要求，得</w:t>
            </w:r>
            <w:r>
              <w:t>5</w:t>
            </w:r>
            <w:r>
              <w:rPr>
                <w:rFonts w:hint="eastAsia"/>
              </w:rPr>
              <w:t>分；</w:t>
            </w:r>
          </w:p>
          <w:p>
            <w:r>
              <w:rPr>
                <w:rFonts w:hint="eastAsia"/>
              </w:rPr>
              <w:t>3.未明确项目团队的分工情况和管理架构、责任或项目管理团队的分工情况和管理架构、责任不能满足招标文件要求，得1分。</w:t>
            </w:r>
          </w:p>
          <w:p>
            <w:r>
              <w:rPr>
                <w:rFonts w:hint="eastAsia"/>
              </w:rPr>
              <w:t>4.未提供的得0分。</w:t>
            </w:r>
          </w:p>
        </w:tc>
      </w:tr>
      <w:tr>
        <w:tblPrEx>
          <w:tblCellMar>
            <w:top w:w="0" w:type="dxa"/>
            <w:left w:w="108" w:type="dxa"/>
            <w:bottom w:w="0" w:type="dxa"/>
            <w:right w:w="108" w:type="dxa"/>
          </w:tblCellMar>
        </w:tblPrEx>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240" w:leftChars="100" w:firstLine="0" w:firstLineChars="0"/>
            </w:pPr>
            <w:r>
              <w:rPr>
                <w:rFonts w:hint="eastAsia"/>
              </w:rPr>
              <w:t>培训方案</w:t>
            </w:r>
            <w:r>
              <w:rPr>
                <w:rFonts w:hint="eastAsia"/>
              </w:rPr>
              <w:br w:type="textWrapping"/>
            </w:r>
            <w:r>
              <w:rPr>
                <w:rFonts w:hint="eastAsia"/>
              </w:rPr>
              <w:t>【主观】</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pPr>
            <w:r>
              <w:t>6</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投标人针对本项目的网络安全设备日常维护和常见问题处理方案等内容，制定的详细完整的培训方案。</w:t>
            </w:r>
          </w:p>
          <w:p>
            <w:r>
              <w:rPr>
                <w:rFonts w:hint="eastAsia"/>
              </w:rPr>
              <w:t>1</w:t>
            </w:r>
            <w:r>
              <w:t>.</w:t>
            </w:r>
            <w:r>
              <w:rPr>
                <w:rFonts w:hint="eastAsia"/>
              </w:rPr>
              <w:t>投标人的培训方案完整合理、内容详细，有较强的针对性，有专门的培训材料和计划，得6分；</w:t>
            </w:r>
          </w:p>
          <w:p>
            <w:r>
              <w:rPr>
                <w:rFonts w:hint="eastAsia"/>
              </w:rPr>
              <w:t>2</w:t>
            </w:r>
            <w:r>
              <w:t>.</w:t>
            </w:r>
            <w:r>
              <w:rPr>
                <w:rFonts w:hint="eastAsia"/>
              </w:rPr>
              <w:t>投标人的培训方案较为合理，内容较为详细，有一定的针对性，得3分；</w:t>
            </w:r>
          </w:p>
          <w:p>
            <w:r>
              <w:t>3.</w:t>
            </w:r>
            <w:r>
              <w:rPr>
                <w:rFonts w:hint="eastAsia"/>
              </w:rPr>
              <w:t>投标人的培训方案对属于通用类，非专门针对本项目，不符合实际情况或只是对需求进行简单复制，得</w:t>
            </w:r>
            <w:r>
              <w:t>1</w:t>
            </w:r>
            <w:r>
              <w:rPr>
                <w:rFonts w:hint="eastAsia"/>
              </w:rPr>
              <w:t>分；</w:t>
            </w:r>
          </w:p>
          <w:p>
            <w:r>
              <w:rPr>
                <w:rFonts w:hint="eastAsia"/>
              </w:rPr>
              <w:t>4.未提供的得0分。</w:t>
            </w:r>
          </w:p>
        </w:tc>
      </w:tr>
    </w:tbl>
    <w:p>
      <w:pPr>
        <w:spacing w:line="400" w:lineRule="exact"/>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4832D"/>
    <w:multiLevelType w:val="singleLevel"/>
    <w:tmpl w:val="CE34832D"/>
    <w:lvl w:ilvl="0" w:tentative="0">
      <w:start w:val="1"/>
      <w:numFmt w:val="decimal"/>
      <w:lvlText w:val="%1)"/>
      <w:lvlJc w:val="left"/>
      <w:pPr>
        <w:ind w:left="425" w:hanging="425"/>
      </w:pPr>
      <w:rPr>
        <w:rFonts w:hint="default"/>
      </w:rPr>
    </w:lvl>
  </w:abstractNum>
  <w:abstractNum w:abstractNumId="1">
    <w:nsid w:val="36629D70"/>
    <w:multiLevelType w:val="singleLevel"/>
    <w:tmpl w:val="36629D70"/>
    <w:lvl w:ilvl="0" w:tentative="0">
      <w:start w:val="1"/>
      <w:numFmt w:val="decimal"/>
      <w:suff w:val="space"/>
      <w:lvlText w:val="%1."/>
      <w:lvlJc w:val="left"/>
    </w:lvl>
  </w:abstractNum>
  <w:abstractNum w:abstractNumId="2">
    <w:nsid w:val="373F225D"/>
    <w:multiLevelType w:val="multilevel"/>
    <w:tmpl w:val="373F225D"/>
    <w:lvl w:ilvl="0" w:tentative="0">
      <w:start w:val="1"/>
      <w:numFmt w:val="japaneseCounting"/>
      <w:pStyle w:val="11"/>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F268F9"/>
    <w:rsid w:val="000065D9"/>
    <w:rsid w:val="00020E1C"/>
    <w:rsid w:val="000464DC"/>
    <w:rsid w:val="00051D17"/>
    <w:rsid w:val="00071CA8"/>
    <w:rsid w:val="00076AA2"/>
    <w:rsid w:val="00091F9D"/>
    <w:rsid w:val="000B6DF9"/>
    <w:rsid w:val="000C0698"/>
    <w:rsid w:val="000E4998"/>
    <w:rsid w:val="00125550"/>
    <w:rsid w:val="00127711"/>
    <w:rsid w:val="0013158B"/>
    <w:rsid w:val="00182F94"/>
    <w:rsid w:val="001913C5"/>
    <w:rsid w:val="001C30E0"/>
    <w:rsid w:val="001E4A28"/>
    <w:rsid w:val="002049F0"/>
    <w:rsid w:val="00207CCB"/>
    <w:rsid w:val="002163A2"/>
    <w:rsid w:val="00222EEF"/>
    <w:rsid w:val="002520A4"/>
    <w:rsid w:val="00256F6F"/>
    <w:rsid w:val="00292513"/>
    <w:rsid w:val="002B0646"/>
    <w:rsid w:val="002B0E79"/>
    <w:rsid w:val="002C0ECD"/>
    <w:rsid w:val="002D5A74"/>
    <w:rsid w:val="00315464"/>
    <w:rsid w:val="00391666"/>
    <w:rsid w:val="003A0AF7"/>
    <w:rsid w:val="003C6D1E"/>
    <w:rsid w:val="003D676F"/>
    <w:rsid w:val="003E6CBD"/>
    <w:rsid w:val="00407C70"/>
    <w:rsid w:val="00493BE3"/>
    <w:rsid w:val="0049760D"/>
    <w:rsid w:val="004A5E25"/>
    <w:rsid w:val="004C5B71"/>
    <w:rsid w:val="004C698F"/>
    <w:rsid w:val="004F26B9"/>
    <w:rsid w:val="00507D7D"/>
    <w:rsid w:val="00514B28"/>
    <w:rsid w:val="005235CA"/>
    <w:rsid w:val="005430AF"/>
    <w:rsid w:val="00555F68"/>
    <w:rsid w:val="00572E93"/>
    <w:rsid w:val="005E0908"/>
    <w:rsid w:val="005F0D63"/>
    <w:rsid w:val="005F584E"/>
    <w:rsid w:val="006162A9"/>
    <w:rsid w:val="00625A12"/>
    <w:rsid w:val="006B3134"/>
    <w:rsid w:val="006D4B40"/>
    <w:rsid w:val="006F7BC3"/>
    <w:rsid w:val="00740D39"/>
    <w:rsid w:val="00771646"/>
    <w:rsid w:val="00783A63"/>
    <w:rsid w:val="00790F92"/>
    <w:rsid w:val="007A6138"/>
    <w:rsid w:val="007C1913"/>
    <w:rsid w:val="007E0964"/>
    <w:rsid w:val="00812274"/>
    <w:rsid w:val="00823348"/>
    <w:rsid w:val="00823BBF"/>
    <w:rsid w:val="0088551B"/>
    <w:rsid w:val="008C1BA0"/>
    <w:rsid w:val="008D66DF"/>
    <w:rsid w:val="008F5115"/>
    <w:rsid w:val="009000AB"/>
    <w:rsid w:val="00906E98"/>
    <w:rsid w:val="0091744F"/>
    <w:rsid w:val="00961C83"/>
    <w:rsid w:val="00981BE6"/>
    <w:rsid w:val="009A4091"/>
    <w:rsid w:val="00A22970"/>
    <w:rsid w:val="00A81437"/>
    <w:rsid w:val="00AA00AC"/>
    <w:rsid w:val="00AA31C5"/>
    <w:rsid w:val="00AB6B08"/>
    <w:rsid w:val="00AD3BD4"/>
    <w:rsid w:val="00AE2813"/>
    <w:rsid w:val="00AF0F37"/>
    <w:rsid w:val="00B11C12"/>
    <w:rsid w:val="00B200CD"/>
    <w:rsid w:val="00B22EE4"/>
    <w:rsid w:val="00B9754B"/>
    <w:rsid w:val="00BE5931"/>
    <w:rsid w:val="00BE64D3"/>
    <w:rsid w:val="00C04525"/>
    <w:rsid w:val="00C07539"/>
    <w:rsid w:val="00C26C74"/>
    <w:rsid w:val="00C31D95"/>
    <w:rsid w:val="00C5193D"/>
    <w:rsid w:val="00C77231"/>
    <w:rsid w:val="00C777DD"/>
    <w:rsid w:val="00CB6330"/>
    <w:rsid w:val="00D01882"/>
    <w:rsid w:val="00D3234F"/>
    <w:rsid w:val="00D34228"/>
    <w:rsid w:val="00D449D9"/>
    <w:rsid w:val="00D74CC1"/>
    <w:rsid w:val="00DA26B2"/>
    <w:rsid w:val="00DA4363"/>
    <w:rsid w:val="00DD122B"/>
    <w:rsid w:val="00E00B59"/>
    <w:rsid w:val="00E070F7"/>
    <w:rsid w:val="00E113B7"/>
    <w:rsid w:val="00E1683B"/>
    <w:rsid w:val="00E35513"/>
    <w:rsid w:val="00E36FF6"/>
    <w:rsid w:val="00E37987"/>
    <w:rsid w:val="00E8268A"/>
    <w:rsid w:val="00E84788"/>
    <w:rsid w:val="00E90B35"/>
    <w:rsid w:val="00EC3CC0"/>
    <w:rsid w:val="00EC54A3"/>
    <w:rsid w:val="00EE3334"/>
    <w:rsid w:val="00EE79FD"/>
    <w:rsid w:val="00F15C1F"/>
    <w:rsid w:val="00F32FDD"/>
    <w:rsid w:val="00F652E9"/>
    <w:rsid w:val="00F74D3B"/>
    <w:rsid w:val="00F96E3E"/>
    <w:rsid w:val="00FB43DA"/>
    <w:rsid w:val="00FC4F7D"/>
    <w:rsid w:val="00FD02BF"/>
    <w:rsid w:val="00FD4974"/>
    <w:rsid w:val="00FE65AE"/>
    <w:rsid w:val="03E74682"/>
    <w:rsid w:val="083538BE"/>
    <w:rsid w:val="184E0A26"/>
    <w:rsid w:val="31723C30"/>
    <w:rsid w:val="331C761C"/>
    <w:rsid w:val="3D505C5D"/>
    <w:rsid w:val="459A66E2"/>
    <w:rsid w:val="565E1322"/>
    <w:rsid w:val="64426F0D"/>
    <w:rsid w:val="6F42408E"/>
    <w:rsid w:val="708149E5"/>
    <w:rsid w:val="72F268F9"/>
    <w:rsid w:val="73F31822"/>
    <w:rsid w:val="7517089E"/>
    <w:rsid w:val="EFF5F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24"/>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240" w:lineRule="auto"/>
      <w:jc w:val="left"/>
    </w:pPr>
    <w:rPr>
      <w:rFonts w:cs="宋体"/>
      <w:kern w:val="0"/>
      <w:sz w:val="18"/>
      <w:szCs w:val="18"/>
      <w:lang w:val="zh-CN" w:bidi="zh-CN"/>
    </w:r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annotation text"/>
    <w:basedOn w:val="1"/>
    <w:qFormat/>
    <w:uiPriority w:val="0"/>
    <w:pPr>
      <w:jc w:val="left"/>
    </w:pPr>
  </w:style>
  <w:style w:type="paragraph" w:styleId="7">
    <w:name w:val="Plain Text"/>
    <w:basedOn w:val="1"/>
    <w:qFormat/>
    <w:uiPriority w:val="0"/>
    <w:rPr>
      <w:rFonts w:hAnsi="Courier New"/>
      <w:szCs w:val="21"/>
    </w:rPr>
  </w:style>
  <w:style w:type="paragraph" w:styleId="8">
    <w:name w:val="footer"/>
    <w:basedOn w:val="1"/>
    <w:link w:val="18"/>
    <w:qFormat/>
    <w:uiPriority w:val="0"/>
    <w:pPr>
      <w:tabs>
        <w:tab w:val="center" w:pos="4153"/>
        <w:tab w:val="right" w:pos="8306"/>
      </w:tabs>
      <w:snapToGrid w:val="0"/>
      <w:spacing w:line="240" w:lineRule="auto"/>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Subtitle"/>
    <w:basedOn w:val="1"/>
    <w:next w:val="1"/>
    <w:qFormat/>
    <w:uiPriority w:val="0"/>
    <w:pPr>
      <w:tabs>
        <w:tab w:val="left" w:pos="600"/>
      </w:tabs>
      <w:ind w:firstLine="200"/>
      <w:outlineLvl w:val="1"/>
    </w:pPr>
    <w:rPr>
      <w:b/>
      <w:sz w:val="28"/>
    </w:rPr>
  </w:style>
  <w:style w:type="paragraph" w:styleId="11">
    <w:name w:val="Title"/>
    <w:basedOn w:val="1"/>
    <w:next w:val="1"/>
    <w:qFormat/>
    <w:uiPriority w:val="0"/>
    <w:pPr>
      <w:numPr>
        <w:ilvl w:val="0"/>
        <w:numId w:val="1"/>
      </w:numPr>
      <w:ind w:left="0" w:firstLine="0" w:firstLineChars="0"/>
      <w:jc w:val="center"/>
      <w:outlineLvl w:val="0"/>
    </w:pPr>
    <w:rPr>
      <w:b/>
      <w:bCs/>
      <w:sz w:val="4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paragraph" w:customStyle="1" w:styleId="16">
    <w:name w:val="列出段落1"/>
    <w:basedOn w:val="1"/>
    <w:qFormat/>
    <w:uiPriority w:val="34"/>
  </w:style>
  <w:style w:type="character" w:customStyle="1" w:styleId="17">
    <w:name w:val="页眉 字符"/>
    <w:basedOn w:val="14"/>
    <w:link w:val="9"/>
    <w:qFormat/>
    <w:uiPriority w:val="0"/>
    <w:rPr>
      <w:rFonts w:ascii="宋体" w:hAnsi="宋体"/>
      <w:kern w:val="2"/>
      <w:sz w:val="18"/>
      <w:szCs w:val="18"/>
    </w:rPr>
  </w:style>
  <w:style w:type="character" w:customStyle="1" w:styleId="18">
    <w:name w:val="页脚 字符"/>
    <w:basedOn w:val="14"/>
    <w:link w:val="8"/>
    <w:qFormat/>
    <w:uiPriority w:val="0"/>
    <w:rPr>
      <w:rFonts w:ascii="宋体" w:hAnsi="宋体"/>
      <w:kern w:val="2"/>
      <w:sz w:val="18"/>
      <w:szCs w:val="18"/>
    </w:rPr>
  </w:style>
  <w:style w:type="paragraph" w:customStyle="1" w:styleId="19">
    <w:name w:val="列出段落11"/>
    <w:basedOn w:val="1"/>
    <w:qFormat/>
    <w:uiPriority w:val="34"/>
    <w:pPr>
      <w:spacing w:line="240" w:lineRule="auto"/>
      <w:ind w:firstLine="420"/>
    </w:pPr>
    <w:rPr>
      <w:rFonts w:asciiTheme="minorHAnsi" w:hAnsiTheme="minorHAnsi" w:eastAsiaTheme="minorEastAsia" w:cstheme="minorBidi"/>
      <w:sz w:val="21"/>
      <w:szCs w:val="22"/>
    </w:rPr>
  </w:style>
  <w:style w:type="paragraph" w:styleId="20">
    <w:name w:val="List Paragraph"/>
    <w:basedOn w:val="1"/>
    <w:qFormat/>
    <w:uiPriority w:val="99"/>
    <w:pPr>
      <w:ind w:firstLine="420"/>
    </w:pPr>
  </w:style>
  <w:style w:type="paragraph" w:customStyle="1" w:styleId="21">
    <w:name w:val="正文1"/>
    <w:basedOn w:val="1"/>
    <w:qFormat/>
    <w:uiPriority w:val="0"/>
    <w:pPr>
      <w:tabs>
        <w:tab w:val="center" w:pos="1440"/>
        <w:tab w:val="left" w:pos="5720"/>
      </w:tabs>
      <w:suppressAutoHyphens/>
      <w:jc w:val="left"/>
    </w:pPr>
    <w:rPr>
      <w:kern w:val="1"/>
      <w:lang w:eastAsia="ar-SA"/>
    </w:rPr>
  </w:style>
  <w:style w:type="character" w:customStyle="1" w:styleId="22">
    <w:name w:val="font11"/>
    <w:basedOn w:val="14"/>
    <w:qFormat/>
    <w:uiPriority w:val="0"/>
    <w:rPr>
      <w:rFonts w:hint="eastAsia" w:ascii="仿宋" w:hAnsi="仿宋" w:eastAsia="仿宋" w:cs="仿宋"/>
      <w:color w:val="000000"/>
      <w:sz w:val="24"/>
      <w:szCs w:val="24"/>
      <w:u w:val="none"/>
    </w:rPr>
  </w:style>
  <w:style w:type="character" w:customStyle="1" w:styleId="23">
    <w:name w:val="font01"/>
    <w:basedOn w:val="14"/>
    <w:qFormat/>
    <w:uiPriority w:val="0"/>
    <w:rPr>
      <w:rFonts w:ascii="Arial" w:hAnsi="Arial" w:cs="Arial"/>
      <w:color w:val="000000"/>
      <w:sz w:val="24"/>
      <w:szCs w:val="24"/>
      <w:u w:val="none"/>
    </w:rPr>
  </w:style>
  <w:style w:type="character" w:customStyle="1" w:styleId="24">
    <w:name w:val="标题 3 字符"/>
    <w:basedOn w:val="14"/>
    <w:link w:val="5"/>
    <w:semiHidden/>
    <w:qFormat/>
    <w:uiPriority w:val="0"/>
    <w:rPr>
      <w:rFonts w:ascii="宋体" w:hAnsi="宋体" w:eastAsia="宋体"/>
      <w:b/>
      <w:bCs/>
      <w:kern w:val="2"/>
      <w:sz w:val="32"/>
      <w:szCs w:val="32"/>
    </w:rPr>
  </w:style>
  <w:style w:type="paragraph" w:customStyle="1" w:styleId="25">
    <w:name w:val="Revision"/>
    <w:hidden/>
    <w:unhideWhenUsed/>
    <w:qFormat/>
    <w:uiPriority w:val="99"/>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329</Words>
  <Characters>1881</Characters>
  <Lines>15</Lines>
  <Paragraphs>4</Paragraphs>
  <TotalTime>21</TotalTime>
  <ScaleCrop>false</ScaleCrop>
  <LinksUpToDate>false</LinksUpToDate>
  <CharactersWithSpaces>2206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2025-06-26T01:54:00Z</dcterms:created>
  <dc:creator>admin</dc:creator>
  <cp:lastModifiedBy>张玲玉</cp:lastModifiedBy>
  <dcterms:modified xsi:type="dcterms:W3CDTF">2025-06-27T03:45:04Z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C9B24D998A3D48AE9D7D8D0B72D1C46E</vt:lpwstr>
  </property>
  <property fmtid="{D5CDD505-2E9C-101B-9397-08002B2CF9AE}" pid="4" name="KSOTemplateDocerSaveRecord">
    <vt:lpwstr>eyJoZGlkIjoiNTQyMTA5MzMxMzc4OTA1NWJhZDYyN2RiMTBjZGYxNTkifQ==</vt:lpwstr>
  </property>
</Properties>
</file>