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  <w:lang w:val="en-US" w:eastAsia="zh-CN"/>
        </w:rPr>
        <w:t xml:space="preserve">                                                                            </w:t>
      </w: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Cs w:val="21"/>
        </w:rPr>
        <w:t>台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磁盘阵列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</w:t>
      </w:r>
      <w:r>
        <w:rPr>
          <w:rFonts w:hint="eastAsia" w:ascii="仿宋_GB2312" w:hAnsi="华文细黑" w:eastAsia="仿宋_GB2312"/>
          <w:b/>
          <w:sz w:val="24"/>
          <w:lang w:val="en-US" w:eastAsia="zh-CN"/>
        </w:rPr>
        <w:t>两</w:t>
      </w:r>
      <w:r>
        <w:rPr>
          <w:rFonts w:hint="eastAsia" w:ascii="仿宋_GB2312" w:hAnsi="华文细黑" w:eastAsia="仿宋_GB2312"/>
          <w:b/>
          <w:sz w:val="24"/>
        </w:rPr>
        <w:t>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条目号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设备名称：</w:t>
            </w:r>
          </w:p>
        </w:tc>
        <w:tc>
          <w:tcPr>
            <w:tcW w:w="0" w:type="auto"/>
            <w:shd w:val="clear" w:color="auto" w:fill="FEFEFE"/>
          </w:tcPr>
          <w:p>
            <w:pPr>
              <w:jc w:val="left"/>
              <w:rPr>
                <w:rFonts w:hint="default" w:asciiTheme="majorEastAsia" w:hAnsiTheme="majorEastAsia" w:eastAsiaTheme="majorEastAsia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 w:eastAsiaTheme="majorEastAsia"/>
                <w:color w:val="000000"/>
                <w:kern w:val="0"/>
                <w:szCs w:val="21"/>
                <w:lang w:val="en-US" w:eastAsia="zh-CN"/>
              </w:rPr>
              <w:t>磁盘阵列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数量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1台24盘位磁盘整列含24块8T企业级硬盘；</w:t>
            </w:r>
          </w:p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1台48盘位存储服务器含48块16T企业级硬盘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用途</w:t>
            </w:r>
          </w:p>
        </w:tc>
        <w:tc>
          <w:tcPr>
            <w:tcW w:w="0" w:type="auto"/>
            <w:shd w:val="clear" w:color="auto" w:fill="FEFEFE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用途：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实现对现有摄像头存储时间扩容，满足存储时间由30天增长至90天。所有设备支持大容量高速缓存和高性能录像存取。提供含硬盘健康管理的多级智能运维保养服务，实现从整机到硬盘全方位进行智能监控。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主要组成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磁盘阵列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投标资质</w:t>
            </w:r>
          </w:p>
        </w:tc>
        <w:tc>
          <w:tcPr>
            <w:tcW w:w="0" w:type="auto"/>
            <w:shd w:val="clear" w:color="auto" w:fill="FEFEFE"/>
          </w:tcPr>
          <w:p>
            <w:pPr>
              <w:pStyle w:val="63"/>
            </w:pPr>
            <w:r>
              <w:rPr>
                <w:rFonts w:hint="eastAsia"/>
              </w:rPr>
              <w:t>1、具有有效的企业营业执照；</w:t>
            </w:r>
          </w:p>
          <w:p>
            <w:pPr>
              <w:pStyle w:val="63"/>
            </w:pPr>
            <w:r>
              <w:rPr>
                <w:rFonts w:hint="eastAsia"/>
              </w:rPr>
              <w:t>2、投标人在近三年内（20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月-投标截止</w:t>
            </w:r>
            <w:r>
              <w:t>时间</w:t>
            </w:r>
            <w:r>
              <w:rPr>
                <w:rFonts w:hint="eastAsia"/>
              </w:rPr>
              <w:t>）没有骗取中标和严重违约及重大工程质量问题；参加本采购活动前三年内，在经营活动中没有重大违法记录；</w:t>
            </w:r>
          </w:p>
          <w:p>
            <w:pPr>
              <w:pStyle w:val="63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、具有良好的商业信誉和健全的财务会计制度；</w:t>
            </w:r>
          </w:p>
          <w:p>
            <w:pPr>
              <w:pStyle w:val="63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、具有依法缴纳税收和社会保障资金的良</w:t>
            </w:r>
            <w:bookmarkStart w:id="0" w:name="_GoBack"/>
            <w:bookmarkEnd w:id="0"/>
            <w:r>
              <w:rPr>
                <w:rFonts w:hint="eastAsia"/>
              </w:rPr>
              <w:t>好记录；</w:t>
            </w:r>
          </w:p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、本项目不接受联合体投标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技术规格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hint="eastAsia" w:asciiTheme="majorEastAsia" w:hAnsiTheme="majorEastAsia" w:eastAsiaTheme="maj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技术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24盘位，满配24块8T企业级SATA硬盘</w:t>
            </w:r>
          </w:p>
          <w:p>
            <w:pP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48盘位，满配48块16T企业级SATA硬盘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1.2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≥1536Mbps接入带宽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1.3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标配≥4个千兆网口，支持4个PCI-E3.0，或可扩展 RS485 接口、eSATA 接口，可扩展至 15个千兆网口，或增配 12个 10Gb /25Gb光纤接口或增配 12 个 8Gb/16Gb/32Gb 光纤接口或增配 12个 HDMI 接口或增配 9 个Mini SAS HD接口，支持GPU智能卡，支持PCI-E X16和PCI-E X8，可支持12GB SAS扩展口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1.4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≥4GB内存，内存支持扩展到≥256GB，内置SSD固态硬盘（可以扩展到4个SSD作为缓存盘），配置≥3个风扇，支持风扇热插拔冗余温控调速风扇；支持热插拔1+1AC220V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1.5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支持查看硬盘体检报告、硬盘深度体检和磁盘档案；支持下载单个硬盘或批量硬盘的报告，支持按时间显示硬盘的坏扇区、温度、振动变化趋势的曲线图；可通过硬盘深度体检查看硬盘原始数据读取错误率、上电时间、上电时长计数、意外断电计数、重映射扇区数、磁盘振动等多种硬盘相关健康值；支持查看硬盘体检的历史记录、硬盘健康状态，并对硬盘健康状态进行分级分类，包括健康（良好、正常）、亚健康（警告、即将损坏）、故障（错误、损坏）等；支持硬盘体检报告打印输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1.6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设备具有多个系统镜像，当主用系统出现故障时，备用系统可接替主用系统工作，且支持通过任一备用系统对原主用系统进行修复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1.7</w:t>
            </w:r>
          </w:p>
        </w:tc>
        <w:tc>
          <w:tcPr>
            <w:tcW w:w="0" w:type="auto"/>
            <w:shd w:val="clear" w:color="auto" w:fill="FEFEFE"/>
          </w:tcPr>
          <w:p>
            <w:pP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设备支持版本回退功能，在当前版本出现故障或操作失误后，可进行回退到历史版本，回退后录像正常回放，且历史录像完整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  <w:lang w:val="en-US" w:eastAsia="zh-CN"/>
              </w:rPr>
              <w:t>1.8</w:t>
            </w:r>
          </w:p>
        </w:tc>
        <w:tc>
          <w:tcPr>
            <w:tcW w:w="0" w:type="auto"/>
            <w:shd w:val="clear" w:color="auto" w:fill="FEFEFE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★</w:t>
            </w:r>
            <w:r>
              <w:rPr>
                <w:rFonts w:hint="eastAsia"/>
                <w:b/>
                <w:bCs/>
                <w:lang w:val="en-US" w:eastAsia="zh-CN"/>
              </w:rPr>
              <w:t>所投产品需提供厂家授权及三年质保承诺函（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★为废标项</w:t>
            </w:r>
            <w:r>
              <w:rPr>
                <w:rFonts w:hint="eastAsia"/>
                <w:b/>
                <w:bCs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七</w:t>
            </w:r>
          </w:p>
        </w:tc>
        <w:tc>
          <w:tcPr>
            <w:tcW w:w="0" w:type="auto"/>
            <w:shd w:val="clear" w:color="auto" w:fill="FEFEFE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1.1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1.2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如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现场条件无法安装，中标厂商负责调整设备以满足现场条件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1.3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安装完成需提交安装报告书与质量报告书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1.4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1.5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安装完成经检点各项配件; 功能及实际使用测试各项软件一个月无异常，且完整提供各项文件经审查通过，为验收完成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1.6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1.7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2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2.1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“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三证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”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3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3.1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保修期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并依原厂规定执行定期保养与校正，中标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厂商提供保养工具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设备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3.2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保修期内已购软件免费升级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3.3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提供新增软、硬件购置折扣计价方式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4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人员训练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4.1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装机完成，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需配合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院方安排，免费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指导使用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人员进行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操作训练，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直至完全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熟练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掌握操作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流程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及日常保养流程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4.2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提供原厂完整课程维复技术训练1名(含学费)：课程学费、住宿地点与训练地点间之交通由得标厂商负责，机票费、日常生活费由本院自理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0" w:type="auto"/>
            <w:shd w:val="clear" w:color="auto" w:fill="FEFEFE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4.</w:t>
            </w:r>
            <w:r>
              <w:rPr>
                <w:rFonts w:asciiTheme="majorEastAsia" w:hAnsiTheme="majorEastAsia" w:eastAsiaTheme="majorEastAsia"/>
                <w:b/>
                <w:color w:val="000000"/>
                <w:szCs w:val="21"/>
              </w:rPr>
              <w:t>3</w:t>
            </w:r>
          </w:p>
        </w:tc>
        <w:tc>
          <w:tcPr>
            <w:tcW w:w="0" w:type="auto"/>
            <w:shd w:val="clear" w:color="auto" w:fill="FEFEFE"/>
          </w:tcPr>
          <w:p>
            <w:pPr>
              <w:textAlignment w:val="center"/>
              <w:rPr>
                <w:rFonts w:hint="eastAsia" w:asciiTheme="majorEastAsia" w:hAnsiTheme="majorEastAsia" w:eastAsiaTheme="majorEastAsia"/>
                <w:color w:val="000000"/>
                <w:szCs w:val="21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highlight w:val="yellow"/>
              </w:rPr>
              <w:t>维修手册,2份中文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highlight w:val="yellow"/>
              </w:rPr>
              <w:t>内容需包含：</w:t>
            </w:r>
          </w:p>
          <w:p>
            <w:pPr>
              <w:numPr>
                <w:ilvl w:val="0"/>
                <w:numId w:val="2"/>
              </w:numPr>
              <w:textAlignment w:val="center"/>
              <w:rPr>
                <w:rFonts w:hint="eastAsia" w:asciiTheme="majorEastAsia" w:hAnsiTheme="majorEastAsia" w:eastAsiaTheme="maj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  <w:lang w:val="en-US" w:eastAsia="zh-CN"/>
              </w:rPr>
              <w:t>操作手册</w:t>
            </w:r>
          </w:p>
          <w:p>
            <w:pPr>
              <w:numPr>
                <w:ilvl w:val="0"/>
                <w:numId w:val="2"/>
              </w:numPr>
              <w:textAlignment w:val="center"/>
              <w:rPr>
                <w:rFonts w:hint="default" w:asciiTheme="majorEastAsia" w:hAnsiTheme="majorEastAsia" w:eastAsiaTheme="maj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  <w:lang w:val="en-US" w:eastAsia="zh-CN"/>
              </w:rPr>
              <w:t>维护说明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</w:tbl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C5325"/>
    <w:multiLevelType w:val="singleLevel"/>
    <w:tmpl w:val="B51C53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MGUzMzc5MzMzODYxNDNkZTgyMjRkZjE0NjI3ZGEifQ=="/>
  </w:docVars>
  <w:rsids>
    <w:rsidRoot w:val="00A65AA2"/>
    <w:rsid w:val="0000238B"/>
    <w:rsid w:val="000405CD"/>
    <w:rsid w:val="000824C6"/>
    <w:rsid w:val="000B0769"/>
    <w:rsid w:val="000B7C66"/>
    <w:rsid w:val="000C127A"/>
    <w:rsid w:val="000C1E61"/>
    <w:rsid w:val="000C7B4B"/>
    <w:rsid w:val="00142B7C"/>
    <w:rsid w:val="001E0822"/>
    <w:rsid w:val="00210F2C"/>
    <w:rsid w:val="00240CA7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06B35"/>
    <w:rsid w:val="00331329"/>
    <w:rsid w:val="00371B50"/>
    <w:rsid w:val="00374259"/>
    <w:rsid w:val="003852C5"/>
    <w:rsid w:val="003A0E18"/>
    <w:rsid w:val="003A1792"/>
    <w:rsid w:val="003E62EF"/>
    <w:rsid w:val="0040444F"/>
    <w:rsid w:val="0041287A"/>
    <w:rsid w:val="004318C4"/>
    <w:rsid w:val="004517D5"/>
    <w:rsid w:val="00457AA0"/>
    <w:rsid w:val="00457C49"/>
    <w:rsid w:val="00461939"/>
    <w:rsid w:val="00467B7C"/>
    <w:rsid w:val="0047638A"/>
    <w:rsid w:val="004926F1"/>
    <w:rsid w:val="004A0592"/>
    <w:rsid w:val="004A50CB"/>
    <w:rsid w:val="004B28E7"/>
    <w:rsid w:val="004B7AF6"/>
    <w:rsid w:val="004E57E4"/>
    <w:rsid w:val="005219BC"/>
    <w:rsid w:val="00551CC0"/>
    <w:rsid w:val="00581911"/>
    <w:rsid w:val="005B388D"/>
    <w:rsid w:val="005B5FBA"/>
    <w:rsid w:val="005B74A0"/>
    <w:rsid w:val="005C0F0F"/>
    <w:rsid w:val="005D61B7"/>
    <w:rsid w:val="006029AC"/>
    <w:rsid w:val="0060323B"/>
    <w:rsid w:val="00637012"/>
    <w:rsid w:val="006428C1"/>
    <w:rsid w:val="00672563"/>
    <w:rsid w:val="00682EA8"/>
    <w:rsid w:val="0068437C"/>
    <w:rsid w:val="006979A2"/>
    <w:rsid w:val="006A4249"/>
    <w:rsid w:val="006D26C2"/>
    <w:rsid w:val="006D507D"/>
    <w:rsid w:val="006E2A3D"/>
    <w:rsid w:val="006E70E0"/>
    <w:rsid w:val="006F3ABD"/>
    <w:rsid w:val="00705DCD"/>
    <w:rsid w:val="007256F9"/>
    <w:rsid w:val="007319C7"/>
    <w:rsid w:val="0076528B"/>
    <w:rsid w:val="007A5F17"/>
    <w:rsid w:val="007B4FA0"/>
    <w:rsid w:val="00803FC9"/>
    <w:rsid w:val="00831F9D"/>
    <w:rsid w:val="008356B1"/>
    <w:rsid w:val="00851DB5"/>
    <w:rsid w:val="008533BE"/>
    <w:rsid w:val="00854822"/>
    <w:rsid w:val="00884FA5"/>
    <w:rsid w:val="008972C3"/>
    <w:rsid w:val="008B3BC5"/>
    <w:rsid w:val="008E21DE"/>
    <w:rsid w:val="00902701"/>
    <w:rsid w:val="00923B31"/>
    <w:rsid w:val="009461BB"/>
    <w:rsid w:val="009A0ED6"/>
    <w:rsid w:val="00A23630"/>
    <w:rsid w:val="00A26AF4"/>
    <w:rsid w:val="00A31045"/>
    <w:rsid w:val="00A50D2D"/>
    <w:rsid w:val="00A65AA2"/>
    <w:rsid w:val="00AD1B90"/>
    <w:rsid w:val="00AD4100"/>
    <w:rsid w:val="00AF7C4B"/>
    <w:rsid w:val="00B21B03"/>
    <w:rsid w:val="00B74A39"/>
    <w:rsid w:val="00B7571A"/>
    <w:rsid w:val="00B80FF0"/>
    <w:rsid w:val="00BE5777"/>
    <w:rsid w:val="00C42206"/>
    <w:rsid w:val="00C65B9C"/>
    <w:rsid w:val="00C91D39"/>
    <w:rsid w:val="00CA51AE"/>
    <w:rsid w:val="00CC1748"/>
    <w:rsid w:val="00CD3AF4"/>
    <w:rsid w:val="00D16365"/>
    <w:rsid w:val="00D237A3"/>
    <w:rsid w:val="00D312C6"/>
    <w:rsid w:val="00D46382"/>
    <w:rsid w:val="00D4659E"/>
    <w:rsid w:val="00D60D99"/>
    <w:rsid w:val="00D8792B"/>
    <w:rsid w:val="00D97CDB"/>
    <w:rsid w:val="00DA36E2"/>
    <w:rsid w:val="00DC220B"/>
    <w:rsid w:val="00E1527F"/>
    <w:rsid w:val="00E32760"/>
    <w:rsid w:val="00E33B76"/>
    <w:rsid w:val="00E54CFD"/>
    <w:rsid w:val="00E657CD"/>
    <w:rsid w:val="00E67BF8"/>
    <w:rsid w:val="00E82EA3"/>
    <w:rsid w:val="00E96B31"/>
    <w:rsid w:val="00EF582D"/>
    <w:rsid w:val="00F1631B"/>
    <w:rsid w:val="00F22C3F"/>
    <w:rsid w:val="00F4502E"/>
    <w:rsid w:val="00F55DAC"/>
    <w:rsid w:val="00FA433A"/>
    <w:rsid w:val="00FB02E5"/>
    <w:rsid w:val="00FC7B0D"/>
    <w:rsid w:val="03D86E18"/>
    <w:rsid w:val="06EE0994"/>
    <w:rsid w:val="0C1667C5"/>
    <w:rsid w:val="13F96215"/>
    <w:rsid w:val="145E4981"/>
    <w:rsid w:val="15D86382"/>
    <w:rsid w:val="1CC855C2"/>
    <w:rsid w:val="231277FD"/>
    <w:rsid w:val="2C1B702E"/>
    <w:rsid w:val="2D593DF3"/>
    <w:rsid w:val="2D9E1C33"/>
    <w:rsid w:val="3FF62D23"/>
    <w:rsid w:val="471003FF"/>
    <w:rsid w:val="51C05E3F"/>
    <w:rsid w:val="59C65A76"/>
    <w:rsid w:val="5BB55204"/>
    <w:rsid w:val="67836AC8"/>
    <w:rsid w:val="6B903568"/>
    <w:rsid w:val="6EFF1582"/>
    <w:rsid w:val="7198256C"/>
    <w:rsid w:val="78D3636B"/>
    <w:rsid w:val="7E905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4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5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7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8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5">
    <w:name w:val="Default Paragraph Font"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2"/>
    <w:unhideWhenUsed/>
    <w:qFormat/>
    <w:uiPriority w:val="0"/>
    <w:pPr>
      <w:jc w:val="left"/>
    </w:pPr>
  </w:style>
  <w:style w:type="paragraph" w:styleId="13">
    <w:name w:val="Body Text"/>
    <w:basedOn w:val="1"/>
    <w:link w:val="44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3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5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40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1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6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Title"/>
    <w:basedOn w:val="1"/>
    <w:next w:val="1"/>
    <w:link w:val="62"/>
    <w:qFormat/>
    <w:uiPriority w:val="0"/>
    <w:pPr>
      <w:widowControl/>
      <w:topLinePunct/>
      <w:adjustRightInd w:val="0"/>
      <w:snapToGrid w:val="0"/>
      <w:spacing w:before="120" w:after="120" w:line="480" w:lineRule="auto"/>
      <w:ind w:firstLine="200" w:firstLineChars="200"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23">
    <w:name w:val="annotation subject"/>
    <w:basedOn w:val="12"/>
    <w:next w:val="12"/>
    <w:link w:val="42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6">
    <w:name w:val="page number"/>
    <w:basedOn w:val="25"/>
    <w:qFormat/>
    <w:uiPriority w:val="0"/>
  </w:style>
  <w:style w:type="character" w:styleId="27">
    <w:name w:val="Hyperlink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qFormat/>
    <w:uiPriority w:val="0"/>
    <w:rPr>
      <w:sz w:val="21"/>
      <w:szCs w:val="21"/>
    </w:rPr>
  </w:style>
  <w:style w:type="character" w:customStyle="1" w:styleId="29">
    <w:name w:val="页眉 字符"/>
    <w:basedOn w:val="25"/>
    <w:link w:val="20"/>
    <w:qFormat/>
    <w:uiPriority w:val="0"/>
    <w:rPr>
      <w:sz w:val="18"/>
      <w:szCs w:val="18"/>
    </w:rPr>
  </w:style>
  <w:style w:type="character" w:customStyle="1" w:styleId="30">
    <w:name w:val="页脚 字符"/>
    <w:basedOn w:val="25"/>
    <w:link w:val="19"/>
    <w:qFormat/>
    <w:uiPriority w:val="0"/>
    <w:rPr>
      <w:sz w:val="18"/>
      <w:szCs w:val="18"/>
    </w:rPr>
  </w:style>
  <w:style w:type="character" w:customStyle="1" w:styleId="31">
    <w:name w:val="标题 1 字符"/>
    <w:basedOn w:val="25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2">
    <w:name w:val="标题 2 字符"/>
    <w:basedOn w:val="25"/>
    <w:link w:val="3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3">
    <w:name w:val="标题 3 字符"/>
    <w:basedOn w:val="25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4">
    <w:name w:val="标题 4 字符"/>
    <w:basedOn w:val="25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5">
    <w:name w:val="标题 5 字符"/>
    <w:basedOn w:val="25"/>
    <w:link w:val="7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6">
    <w:name w:val="标题 6 字符"/>
    <w:basedOn w:val="25"/>
    <w:link w:val="8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7">
    <w:name w:val="标题 7 字符"/>
    <w:basedOn w:val="25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8">
    <w:name w:val="标题 8 字符"/>
    <w:basedOn w:val="25"/>
    <w:link w:val="10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9">
    <w:name w:val="标题 9 字符"/>
    <w:basedOn w:val="25"/>
    <w:link w:val="11"/>
    <w:qFormat/>
    <w:uiPriority w:val="9"/>
    <w:rPr>
      <w:rFonts w:ascii="Arial" w:hAnsi="Arial" w:eastAsia="黑体" w:cs="Times New Roman"/>
      <w:szCs w:val="20"/>
    </w:rPr>
  </w:style>
  <w:style w:type="character" w:customStyle="1" w:styleId="40">
    <w:name w:val="日期 字符"/>
    <w:link w:val="16"/>
    <w:qFormat/>
    <w:uiPriority w:val="0"/>
    <w:rPr>
      <w:rFonts w:eastAsia="宋体"/>
      <w:b/>
      <w:sz w:val="44"/>
      <w:szCs w:val="24"/>
    </w:rPr>
  </w:style>
  <w:style w:type="character" w:customStyle="1" w:styleId="41">
    <w:name w:val="正文文本缩进 2 字符"/>
    <w:link w:val="17"/>
    <w:qFormat/>
    <w:uiPriority w:val="0"/>
    <w:rPr>
      <w:rFonts w:eastAsia="楷体_GB2312"/>
      <w:sz w:val="30"/>
      <w:szCs w:val="24"/>
    </w:rPr>
  </w:style>
  <w:style w:type="character" w:customStyle="1" w:styleId="42">
    <w:name w:val="批注主题 字符"/>
    <w:link w:val="23"/>
    <w:qFormat/>
    <w:uiPriority w:val="0"/>
    <w:rPr>
      <w:b/>
      <w:bCs/>
      <w:szCs w:val="24"/>
    </w:rPr>
  </w:style>
  <w:style w:type="character" w:customStyle="1" w:styleId="43">
    <w:name w:val="正文文本缩进 字符"/>
    <w:link w:val="14"/>
    <w:qFormat/>
    <w:uiPriority w:val="99"/>
    <w:rPr>
      <w:rFonts w:eastAsia="宋体"/>
      <w:sz w:val="24"/>
    </w:rPr>
  </w:style>
  <w:style w:type="character" w:customStyle="1" w:styleId="44">
    <w:name w:val="正文文本 字符"/>
    <w:link w:val="13"/>
    <w:qFormat/>
    <w:uiPriority w:val="0"/>
    <w:rPr>
      <w:sz w:val="24"/>
    </w:rPr>
  </w:style>
  <w:style w:type="character" w:customStyle="1" w:styleId="45">
    <w:name w:val="纯文本 字符"/>
    <w:link w:val="15"/>
    <w:qFormat/>
    <w:uiPriority w:val="99"/>
    <w:rPr>
      <w:rFonts w:ascii="宋体" w:hAnsi="Courier New"/>
    </w:rPr>
  </w:style>
  <w:style w:type="character" w:customStyle="1" w:styleId="46">
    <w:name w:val="批注框文本 字符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7">
    <w:name w:val="批注文字 Char"/>
    <w:qFormat/>
    <w:uiPriority w:val="0"/>
    <w:rPr>
      <w:kern w:val="2"/>
      <w:sz w:val="21"/>
      <w:szCs w:val="24"/>
    </w:rPr>
  </w:style>
  <w:style w:type="character" w:customStyle="1" w:styleId="48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9">
    <w:name w:val="日期 Char1"/>
    <w:basedOn w:val="2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缩进 Char1"/>
    <w:basedOn w:val="2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正文文本 Char1"/>
    <w:basedOn w:val="2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文字 字符"/>
    <w:basedOn w:val="25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批注主题 Char1"/>
    <w:basedOn w:val="5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4">
    <w:name w:val="纯文本 Char1"/>
    <w:basedOn w:val="2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正文文本缩进 2 Char1"/>
    <w:basedOn w:val="2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框文本 Char1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7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0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2">
    <w:name w:val="标题 字符"/>
    <w:basedOn w:val="25"/>
    <w:link w:val="22"/>
    <w:qFormat/>
    <w:uiPriority w:val="0"/>
    <w:rPr>
      <w:rFonts w:ascii="Arial" w:hAnsi="Arial" w:cs="Arial"/>
      <w:b/>
      <w:bCs/>
      <w:kern w:val="2"/>
      <w:sz w:val="28"/>
      <w:szCs w:val="32"/>
    </w:rPr>
  </w:style>
  <w:style w:type="paragraph" w:customStyle="1" w:styleId="63">
    <w:name w:val="王越的表格"/>
    <w:basedOn w:val="64"/>
    <w:qFormat/>
    <w:uiPriority w:val="0"/>
    <w:pPr>
      <w:spacing w:line="240" w:lineRule="auto"/>
      <w:ind w:firstLine="0" w:firstLineChars="0"/>
    </w:pPr>
  </w:style>
  <w:style w:type="paragraph" w:customStyle="1" w:styleId="64">
    <w:name w:val="王越的正文"/>
    <w:basedOn w:val="1"/>
    <w:qFormat/>
    <w:uiPriority w:val="0"/>
    <w:pPr>
      <w:ind w:firstLine="480"/>
      <w:jc w:val="lef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3</Pages>
  <Words>1434</Words>
  <Characters>1598</Characters>
  <Lines>17</Lines>
  <Paragraphs>4</Paragraphs>
  <TotalTime>0</TotalTime>
  <ScaleCrop>false</ScaleCrop>
  <LinksUpToDate>false</LinksUpToDate>
  <CharactersWithSpaces>1698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2023-08-29T08:27:00Z</dcterms:created>
  <dc:creator>HL</dc:creator>
  <cp:lastModifiedBy>还是弱碱水</cp:lastModifiedBy>
  <cp:lastPrinted>2016-08-01T01:43:00Z</cp:lastPrinted>
  <dcterms:modified xsi:type="dcterms:W3CDTF">2025-02-05T08:40:56Z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544D904C765649FCB1CA6E1151CF5F73_13</vt:lpwstr>
  </property>
  <property fmtid="{D5CDD505-2E9C-101B-9397-08002B2CF9AE}" pid="4" name="KSOTemplateDocerSaveRecord">
    <vt:lpwstr>eyJoZGlkIjoiYWExMGUzMzc5MzMzODYxNDNkZTgyMjRkZjE0NjI3ZGEiLCJ1c2VySWQiOiI0NjI1NzY1MjEifQ==</vt:lpwstr>
  </property>
</Properties>
</file>