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第一章 采购</w:t>
      </w:r>
      <w:r>
        <w:rPr>
          <w:rFonts w:hint="eastAsia"/>
          <w:sz w:val="32"/>
          <w:szCs w:val="40"/>
        </w:rPr>
        <w:t>需求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  <w:highlight w:val="none"/>
        </w:rPr>
      </w:pPr>
      <w:r>
        <w:rPr>
          <w:rFonts w:hint="eastAsia" w:ascii="仿宋" w:hAnsi="仿宋" w:eastAsia="仿宋" w:cs="仿宋"/>
          <w:sz w:val="24"/>
          <w:szCs w:val="32"/>
          <w:highlight w:val="none"/>
        </w:rPr>
        <w:t>一、 项目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基本情况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1. 项目名称：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中国OPO发展大会暨2025年度国家人体捐献器官获取质量控制中心源头培训（北京北部站）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市内车辆及人员服务</w:t>
      </w:r>
      <w:r>
        <w:rPr>
          <w:rFonts w:hint="eastAsia" w:ascii="仿宋" w:hAnsi="仿宋" w:eastAsia="仿宋" w:cs="仿宋"/>
          <w:sz w:val="24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2. 项目时间：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20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 xml:space="preserve"> 年 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27日至3月1日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举办，为期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天</w:t>
      </w:r>
      <w:r>
        <w:rPr>
          <w:rFonts w:hint="eastAsia" w:ascii="仿宋" w:hAnsi="仿宋" w:eastAsia="仿宋" w:cs="仿宋"/>
          <w:sz w:val="24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3. 采购方式：院内遴选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4. 项目预算金额：24.66万元，其中车辆预算24万，会务人员预算0.66万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二、资格要求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1、营业执照等证明文件：供应商为企业(包括合伙企业)的，应提供有效的“营业执照”；供应商为事业单位的，应提供有效的“事业单位法人证书”；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供应商是非企业机构的，应提供有效的“执业许可证”、“登记证书”等证明文件；供应商是个体工商户的，应提供有效的“个体工商户营业执照”；供应商是自然人的，应提供有效的自然人身份证明。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2、“信用中国 www.creditchina.gov.cn ）”和“中国政府采购网（ www.ccgp.gov.cn ）”网站查询的投标单位信用记录的查询结果， 对列入失信被执行人、重大税收违法案件当事人名单、政府采购严重违法失信行为记录名单。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  <w:highlight w:val="none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 xml:space="preserve">、 服务内容及要求 </w:t>
      </w:r>
    </w:p>
    <w:p>
      <w:pPr>
        <w:spacing w:after="0" w:line="360" w:lineRule="auto"/>
        <w:ind w:firstLine="480" w:firstLineChars="200"/>
        <w:outlineLvl w:val="1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（一）服务时间</w:t>
      </w:r>
    </w:p>
    <w:p>
      <w:pPr>
        <w:spacing w:after="0"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  <w:lang w:val="en-US" w:eastAsia="zh-CN"/>
        </w:rPr>
        <w:t>依甲方要求，在会议开始前3天统筹安排直至活动及合同履行结束后。</w:t>
      </w:r>
    </w:p>
    <w:p>
      <w:pPr>
        <w:spacing w:after="0" w:line="360" w:lineRule="auto"/>
        <w:ind w:firstLine="480" w:firstLineChars="200"/>
        <w:outlineLvl w:val="1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（二）服务要求</w:t>
      </w:r>
    </w:p>
    <w:p>
      <w:pPr>
        <w:spacing w:after="0" w:line="360" w:lineRule="auto"/>
        <w:ind w:firstLine="480" w:firstLineChars="200"/>
        <w:rPr>
          <w:rFonts w:hint="eastAsia" w:ascii="仿宋" w:hAnsi="仿宋" w:eastAsia="仿宋" w:cs="宋体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1.</w:t>
      </w:r>
      <w:r>
        <w:rPr>
          <w:rFonts w:hint="eastAsia" w:ascii="仿宋" w:hAnsi="仿宋" w:eastAsia="仿宋" w:cs="宋体"/>
          <w:sz w:val="24"/>
        </w:rPr>
        <w:t>负责600名参会者</w:t>
      </w:r>
      <w:r>
        <w:rPr>
          <w:rFonts w:hint="eastAsia" w:ascii="仿宋" w:hAnsi="仿宋" w:eastAsia="仿宋" w:cs="宋体"/>
          <w:sz w:val="24"/>
          <w:lang w:eastAsia="zh-CN"/>
        </w:rPr>
        <w:t>，</w:t>
      </w:r>
      <w:r>
        <w:rPr>
          <w:rFonts w:hint="eastAsia" w:ascii="仿宋" w:hAnsi="仿宋" w:eastAsia="仿宋" w:cs="宋体"/>
          <w:sz w:val="24"/>
        </w:rPr>
        <w:t>会议开始前</w:t>
      </w:r>
      <w:r>
        <w:rPr>
          <w:rFonts w:hint="eastAsia" w:ascii="仿宋" w:hAnsi="仿宋" w:eastAsia="仿宋" w:cs="宋体"/>
          <w:sz w:val="24"/>
          <w:lang w:val="en-US" w:eastAsia="zh-CN"/>
        </w:rPr>
        <w:t>的</w:t>
      </w:r>
      <w:r>
        <w:rPr>
          <w:rFonts w:hint="eastAsia" w:ascii="仿宋" w:hAnsi="仿宋" w:eastAsia="仿宋" w:cs="宋体"/>
          <w:sz w:val="24"/>
        </w:rPr>
        <w:t>接站、接机</w:t>
      </w:r>
      <w:r>
        <w:rPr>
          <w:rFonts w:hint="eastAsia" w:ascii="仿宋" w:hAnsi="仿宋" w:eastAsia="仿宋" w:cs="宋体"/>
          <w:sz w:val="24"/>
          <w:lang w:eastAsia="zh-CN"/>
        </w:rPr>
        <w:t>、</w:t>
      </w:r>
      <w:r>
        <w:rPr>
          <w:rFonts w:hint="eastAsia" w:ascii="仿宋" w:hAnsi="仿宋" w:eastAsia="仿宋" w:cs="宋体"/>
          <w:sz w:val="24"/>
          <w:lang w:val="en-US" w:eastAsia="zh-CN"/>
        </w:rPr>
        <w:t>送站</w:t>
      </w:r>
      <w:r>
        <w:rPr>
          <w:rFonts w:hint="eastAsia" w:ascii="仿宋" w:hAnsi="仿宋" w:eastAsia="仿宋" w:cs="宋体"/>
          <w:sz w:val="24"/>
        </w:rPr>
        <w:t>、</w:t>
      </w:r>
      <w:r>
        <w:rPr>
          <w:rFonts w:hint="eastAsia" w:ascii="仿宋" w:hAnsi="仿宋" w:eastAsia="仿宋" w:cs="宋体"/>
          <w:sz w:val="24"/>
          <w:lang w:val="en-US" w:eastAsia="zh-CN"/>
        </w:rPr>
        <w:t>送机</w:t>
      </w:r>
      <w:r>
        <w:rPr>
          <w:rFonts w:hint="eastAsia" w:ascii="仿宋" w:hAnsi="仿宋" w:eastAsia="仿宋" w:cs="宋体"/>
          <w:sz w:val="24"/>
        </w:rPr>
        <w:t>以及市内接送服务</w:t>
      </w:r>
      <w:r>
        <w:rPr>
          <w:rFonts w:hint="eastAsia" w:ascii="仿宋" w:hAnsi="仿宋" w:eastAsia="仿宋" w:cs="宋体"/>
          <w:sz w:val="24"/>
          <w:lang w:eastAsia="zh-CN"/>
        </w:rPr>
        <w:t>。</w:t>
      </w:r>
    </w:p>
    <w:p>
      <w:pPr>
        <w:spacing w:after="0"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 w:cs="宋体"/>
          <w:sz w:val="24"/>
          <w:lang w:val="en-US" w:eastAsia="zh-CN"/>
        </w:rPr>
        <w:t>2.</w:t>
      </w:r>
      <w:r>
        <w:rPr>
          <w:rFonts w:hint="eastAsia" w:ascii="仿宋" w:hAnsi="仿宋" w:eastAsia="仿宋"/>
          <w:sz w:val="24"/>
        </w:rPr>
        <w:t>车辆上给予保证，提供24小时车辆服务，按采购方所需的车型、时间、地点、和路线进行安排。</w:t>
      </w:r>
    </w:p>
    <w:p>
      <w:pPr>
        <w:spacing w:after="0"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>.保证选派驾驶经验丰富、需具有5年以上驾龄，服务态度良好的驾驶员，提供优质安全服务，将驾驶员的驾驶证复印件交甲方备案。</w:t>
      </w:r>
    </w:p>
    <w:p>
      <w:pPr>
        <w:spacing w:after="0"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>.车辆服务需至少提供调度人员1人，机场接机同时不少于4人，火车站接站同时不少于4人（以上人员不包含车辆驾驶员）。</w:t>
      </w:r>
    </w:p>
    <w:p>
      <w:pPr>
        <w:spacing w:after="0"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</w:rPr>
        <w:t>.确保行车安全，如因驾驶或车辆发生交通事故，按照《中华人民共和国道路交通安全法》和《机动车交通事故责任强制保险条例》等的规定，处理好交通事故。</w:t>
      </w:r>
    </w:p>
    <w:p>
      <w:pPr>
        <w:spacing w:after="0"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.采购方有权要求更换采购方认为不合格的驾驶员或车辆，中选企业负责无条件更换。</w:t>
      </w:r>
    </w:p>
    <w:p>
      <w:pPr>
        <w:pStyle w:val="2"/>
        <w:rPr>
          <w:rFonts w:hint="default" w:ascii="仿宋" w:hAnsi="仿宋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t xml:space="preserve">  7.提供11人（不包含司机）为采购方提供人员对接、车辆人员对接、接站等相关服务。</w:t>
      </w:r>
    </w:p>
    <w:p>
      <w:pPr>
        <w:pStyle w:val="2"/>
        <w:rPr>
          <w:rFonts w:hint="eastAsia" w:ascii="仿宋" w:hAnsi="仿宋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t xml:space="preserve"> （三）结算方式</w:t>
      </w:r>
    </w:p>
    <w:p>
      <w:pPr>
        <w:spacing w:after="0" w:line="360" w:lineRule="auto"/>
        <w:ind w:firstLine="480" w:firstLineChars="200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1.活动结束后 20个工作日内向采购方提供车辆使用时间或里程明细（以参会人员实际行程为准），采购方在 20个工作日内核对确认后按清单向中选单位支付，结算遇节假日顺延。</w:t>
      </w:r>
    </w:p>
    <w:p>
      <w:pPr>
        <w:spacing w:after="0" w:line="360" w:lineRule="auto"/>
        <w:ind w:firstLine="240" w:firstLineChars="100"/>
        <w:outlineLvl w:val="1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（四）车辆要求</w:t>
      </w:r>
    </w:p>
    <w:p>
      <w:pPr>
        <w:spacing w:after="0" w:line="360" w:lineRule="auto"/>
        <w:ind w:firstLine="480" w:firstLineChars="200"/>
        <w:outlineLvl w:val="1"/>
        <w:rPr>
          <w:rFonts w:hint="eastAsia" w:ascii="仿宋" w:hAnsi="仿宋" w:eastAsia="仿宋" w:cs="宋体"/>
          <w:sz w:val="24"/>
          <w:lang w:eastAsia="zh-CN"/>
        </w:rPr>
      </w:pPr>
      <w:r>
        <w:rPr>
          <w:rFonts w:hint="eastAsia" w:ascii="仿宋" w:hAnsi="仿宋" w:eastAsia="仿宋" w:cs="宋体"/>
          <w:sz w:val="24"/>
          <w:lang w:val="en-US" w:eastAsia="zh-CN"/>
        </w:rPr>
        <w:t>1.车辆需</w:t>
      </w:r>
      <w:r>
        <w:rPr>
          <w:rFonts w:hint="eastAsia" w:ascii="仿宋" w:hAnsi="仿宋" w:eastAsia="仿宋" w:cs="宋体"/>
          <w:sz w:val="24"/>
        </w:rPr>
        <w:t>不少于3辆5座轿车（B级以上）和不少于3辆7人商务车</w:t>
      </w:r>
      <w:r>
        <w:rPr>
          <w:rFonts w:hint="eastAsia" w:ascii="仿宋" w:hAnsi="仿宋" w:eastAsia="仿宋" w:cs="宋体"/>
          <w:sz w:val="24"/>
          <w:lang w:eastAsia="zh-CN"/>
        </w:rPr>
        <w:t>。</w:t>
      </w:r>
    </w:p>
    <w:p>
      <w:pPr>
        <w:spacing w:after="0" w:line="360" w:lineRule="auto"/>
        <w:ind w:firstLine="480" w:firstLineChars="200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2.车辆需按时足额办理交强险、第三者责任险，保险金额不得低于200万，车辆车上人员保险不能低于1万元/人。</w:t>
      </w:r>
    </w:p>
    <w:p>
      <w:pPr>
        <w:spacing w:after="0" w:line="360" w:lineRule="auto"/>
        <w:ind w:firstLine="480" w:firstLineChars="200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3.中选单位保证车辆按时年审、车辆按规定进行定期维护保修、车辆相关手续齐全有效，车辆安全性能满足采购方使用需要、并承担安全责任。</w:t>
      </w:r>
    </w:p>
    <w:p>
      <w:pPr>
        <w:spacing w:after="0" w:line="360" w:lineRule="auto"/>
        <w:ind w:firstLine="480" w:firstLineChars="200"/>
        <w:rPr>
          <w:rFonts w:hint="default" w:ascii="仿宋" w:hAnsi="仿宋" w:eastAsia="仿宋" w:cs="宋体"/>
          <w:sz w:val="24"/>
          <w:lang w:val="en-US" w:eastAsia="zh-CN"/>
        </w:rPr>
      </w:pPr>
      <w:r>
        <w:rPr>
          <w:rFonts w:hint="eastAsia" w:ascii="仿宋" w:hAnsi="仿宋" w:eastAsia="仿宋" w:cs="宋体"/>
          <w:sz w:val="24"/>
          <w:lang w:val="en-US" w:eastAsia="zh-CN"/>
        </w:rPr>
        <w:t>4.保证车辆处于良好状态，保证车辆内处于干净整洁，车内设施良好，能够正常运营，使甲方乘车人员感到温馨舒适。</w:t>
      </w:r>
    </w:p>
    <w:p>
      <w:pPr>
        <w:ind w:firstLine="480" w:firstLineChars="200"/>
        <w:outlineLvl w:val="1"/>
        <w:rPr>
          <w:rFonts w:hint="eastAsia" w:ascii="仿宋" w:hAnsi="仿宋" w:eastAsia="仿宋" w:cs="宋体"/>
          <w:color w:val="auto"/>
          <w:sz w:val="24"/>
        </w:rPr>
      </w:pPr>
      <w:r>
        <w:rPr>
          <w:rFonts w:hint="eastAsia" w:ascii="仿宋" w:hAnsi="仿宋" w:eastAsia="仿宋" w:cs="宋体"/>
          <w:color w:val="auto"/>
          <w:sz w:val="24"/>
        </w:rPr>
        <w:t>（五）车辆租赁限价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84"/>
        <w:gridCol w:w="1185"/>
        <w:gridCol w:w="1185"/>
        <w:gridCol w:w="1185"/>
        <w:gridCol w:w="1185"/>
        <w:gridCol w:w="11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bidi="ar"/>
              </w:rPr>
              <w:t>车型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bidi="ar"/>
              </w:rPr>
              <w:t>日租价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bidi="ar"/>
              </w:rPr>
              <w:t>超公里单价（日）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bidi="ar"/>
              </w:rPr>
              <w:t>超小时单价（日）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bidi="ar"/>
              </w:rPr>
              <w:t>半日租价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bidi="ar"/>
              </w:rPr>
              <w:t>超公里单价（半日）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bidi="ar"/>
              </w:rPr>
              <w:t>超小时单价（半日）</w:t>
            </w:r>
          </w:p>
        </w:tc>
      </w:tr>
      <w:tr>
        <w:trPr>
          <w:trHeight w:val="936" w:hRule="atLeast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5座车（B级及以上）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600元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4元/公里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50元/小时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400元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6元/公里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60元/小时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7座商务车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700元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4元/公里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50元/小时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500元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 xml:space="preserve"> 6元/公里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60元/小时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日租8小时100公里，半日租：4小时50公里；超过半日租标准，按照日租公式计算：（20点后单独计算超时）高速费和停车费另行计算；周租金按照7天计算，半月租金按照15天计算，月租金按照30天计算；以上报价均包含司机费用。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spacing w:after="0" w:line="360" w:lineRule="auto"/>
        <w:ind w:firstLine="240" w:firstLineChars="100"/>
        <w:outlineLvl w:val="1"/>
        <w:rPr>
          <w:rFonts w:hint="eastAsia" w:ascii="仿宋" w:hAnsi="仿宋" w:eastAsia="仿宋" w:cs="宋体"/>
          <w:sz w:val="24"/>
          <w:lang w:val="en-US" w:eastAsia="zh-CN"/>
        </w:rPr>
      </w:pPr>
      <w:r>
        <w:rPr>
          <w:rFonts w:hint="eastAsia" w:ascii="仿宋" w:hAnsi="仿宋" w:eastAsia="仿宋" w:cs="宋体"/>
          <w:sz w:val="24"/>
          <w:lang w:val="en-US" w:eastAsia="zh-CN"/>
        </w:rPr>
        <w:t>会务对接人员限价</w:t>
      </w:r>
    </w:p>
    <w:tbl>
      <w:tblPr>
        <w:tblStyle w:val="5"/>
        <w:tblW w:w="83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830"/>
        <w:gridCol w:w="2847"/>
        <w:gridCol w:w="18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人员数量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时间(日）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单价（元/日）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6600</w:t>
            </w:r>
          </w:p>
        </w:tc>
      </w:tr>
    </w:tbl>
    <w:p>
      <w:pPr>
        <w:numPr>
          <w:ilvl w:val="0"/>
          <w:numId w:val="0"/>
        </w:numPr>
        <w:spacing w:after="0" w:line="360" w:lineRule="auto"/>
        <w:outlineLvl w:val="1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spacing w:after="0" w:line="360" w:lineRule="auto"/>
        <w:ind w:firstLine="480" w:firstLineChars="200"/>
        <w:rPr>
          <w:rFonts w:hint="eastAsia" w:ascii="仿宋" w:hAnsi="仿宋" w:eastAsia="仿宋"/>
          <w:sz w:val="24"/>
          <w:lang w:val="en-US" w:eastAsia="zh-CN"/>
        </w:rPr>
      </w:pPr>
    </w:p>
    <w:p>
      <w:pPr>
        <w:spacing w:after="0" w:line="360" w:lineRule="auto"/>
        <w:ind w:firstLine="480" w:firstLineChars="200"/>
        <w:rPr>
          <w:rFonts w:hint="eastAsia" w:ascii="仿宋" w:hAnsi="仿宋" w:eastAsia="仿宋"/>
          <w:sz w:val="24"/>
          <w:lang w:val="en-US" w:eastAsia="zh-CN"/>
        </w:rPr>
      </w:pPr>
    </w:p>
    <w:p>
      <w:pPr>
        <w:pStyle w:val="2"/>
        <w:rPr>
          <w:rFonts w:hint="eastAsia" w:ascii="仿宋" w:hAnsi="仿宋" w:eastAsia="仿宋"/>
          <w:sz w:val="24"/>
          <w:lang w:val="en-US" w:eastAsia="zh-CN"/>
        </w:rPr>
      </w:pPr>
    </w:p>
    <w:p>
      <w:pPr>
        <w:rPr>
          <w:rFonts w:hint="eastAsia" w:ascii="仿宋" w:hAnsi="仿宋" w:eastAsia="仿宋"/>
          <w:sz w:val="24"/>
          <w:lang w:val="en-US" w:eastAsia="zh-CN"/>
        </w:rPr>
      </w:pPr>
    </w:p>
    <w:p>
      <w:pPr>
        <w:pStyle w:val="2"/>
        <w:rPr>
          <w:rFonts w:hint="eastAsia" w:ascii="仿宋" w:hAnsi="仿宋" w:eastAsia="仿宋"/>
          <w:sz w:val="24"/>
          <w:lang w:val="en-US" w:eastAsia="zh-CN"/>
        </w:rPr>
      </w:pPr>
    </w:p>
    <w:p>
      <w:pPr>
        <w:rPr>
          <w:rFonts w:hint="eastAsia" w:ascii="仿宋" w:hAnsi="仿宋" w:eastAsia="仿宋"/>
          <w:sz w:val="24"/>
          <w:lang w:val="en-US" w:eastAsia="zh-CN"/>
        </w:rPr>
      </w:pPr>
    </w:p>
    <w:p>
      <w:pPr>
        <w:pStyle w:val="2"/>
        <w:rPr>
          <w:rFonts w:hint="eastAsia" w:ascii="仿宋" w:hAnsi="仿宋" w:eastAsia="仿宋"/>
          <w:sz w:val="24"/>
          <w:lang w:val="en-US" w:eastAsia="zh-CN"/>
        </w:rPr>
      </w:pPr>
    </w:p>
    <w:p>
      <w:pPr>
        <w:rPr>
          <w:rFonts w:hint="eastAsia" w:ascii="仿宋" w:hAnsi="仿宋" w:eastAsia="仿宋"/>
          <w:sz w:val="2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after="0" w:line="360" w:lineRule="auto"/>
        <w:ind w:firstLine="480" w:firstLineChars="200"/>
        <w:rPr>
          <w:rFonts w:hint="eastAsia" w:ascii="仿宋" w:hAnsi="仿宋" w:eastAsia="仿宋"/>
          <w:sz w:val="24"/>
          <w:lang w:val="en-US" w:eastAsia="zh-CN"/>
        </w:rPr>
      </w:pPr>
    </w:p>
    <w:p>
      <w:pPr>
        <w:spacing w:after="0" w:line="360" w:lineRule="auto"/>
        <w:ind w:firstLine="480" w:firstLineChars="200"/>
        <w:rPr>
          <w:rFonts w:hint="eastAsia" w:ascii="仿宋" w:hAnsi="仿宋" w:eastAsia="仿宋"/>
          <w:sz w:val="24"/>
          <w:lang w:val="en-US" w:eastAsia="zh-CN"/>
        </w:rPr>
      </w:pPr>
    </w:p>
    <w:p>
      <w:pPr>
        <w:spacing w:after="0" w:line="360" w:lineRule="auto"/>
        <w:ind w:firstLine="480" w:firstLineChars="200"/>
        <w:rPr>
          <w:rFonts w:hint="eastAsia" w:ascii="仿宋" w:hAnsi="仿宋" w:eastAsia="仿宋"/>
          <w:sz w:val="24"/>
          <w:lang w:val="en-US" w:eastAsia="zh-CN"/>
        </w:rPr>
      </w:pPr>
    </w:p>
    <w:p>
      <w:pPr>
        <w:spacing w:after="0" w:line="360" w:lineRule="auto"/>
        <w:ind w:firstLine="480" w:firstLineChars="200"/>
        <w:rPr>
          <w:rFonts w:hint="eastAsia" w:ascii="仿宋" w:hAnsi="仿宋" w:eastAsia="仿宋"/>
          <w:sz w:val="24"/>
          <w:lang w:val="en-US" w:eastAsia="zh-CN"/>
        </w:rPr>
      </w:pPr>
    </w:p>
    <w:p>
      <w:pPr>
        <w:numPr>
          <w:ilvl w:val="0"/>
          <w:numId w:val="2"/>
        </w:num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评审标准</w:t>
      </w:r>
    </w:p>
    <w:tbl>
      <w:tblPr>
        <w:tblStyle w:val="5"/>
        <w:tblpPr w:leftFromText="180" w:rightFromText="180" w:vertAnchor="text" w:horzAnchor="page" w:tblpX="1512" w:tblpY="1308"/>
        <w:tblOverlap w:val="never"/>
        <w:tblW w:w="985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37"/>
        <w:gridCol w:w="1468"/>
        <w:gridCol w:w="691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37" w:type="dxa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内容</w:t>
            </w:r>
          </w:p>
        </w:tc>
        <w:tc>
          <w:tcPr>
            <w:tcW w:w="737" w:type="dxa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分值</w:t>
            </w:r>
          </w:p>
        </w:tc>
        <w:tc>
          <w:tcPr>
            <w:tcW w:w="1468" w:type="dxa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评分因素</w:t>
            </w:r>
          </w:p>
        </w:tc>
        <w:tc>
          <w:tcPr>
            <w:tcW w:w="6917" w:type="dxa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737" w:type="dxa"/>
            <w:vMerge w:val="restart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价格部分</w:t>
            </w:r>
          </w:p>
        </w:tc>
        <w:tc>
          <w:tcPr>
            <w:tcW w:w="737" w:type="dxa"/>
            <w:vMerge w:val="restart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68" w:type="dxa"/>
            <w:vAlign w:val="top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价格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车辆服务报价）15分</w:t>
            </w:r>
          </w:p>
        </w:tc>
        <w:tc>
          <w:tcPr>
            <w:tcW w:w="6917" w:type="dxa"/>
            <w:vAlign w:val="top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价格分采用低价优先法计算，即满足招标文件要求且报价最低的报价为评标基准价，其价格分为满分，其他报价人的价格分统一按下列公式计算：报价得分=（评标基准价/报价）×价格权值。</w:t>
            </w:r>
          </w:p>
          <w:p>
            <w:pPr>
              <w:spacing w:after="0" w:line="360" w:lineRule="auto"/>
              <w:ind w:firstLine="240" w:firstLineChars="100"/>
              <w:outlineLvl w:val="1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注：两车型日租金合计计算基准价格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vAlign w:val="top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价格（人员报价）5分</w:t>
            </w:r>
          </w:p>
        </w:tc>
        <w:tc>
          <w:tcPr>
            <w:tcW w:w="6917" w:type="dxa"/>
            <w:vAlign w:val="top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价格分采用低价优先法计算，即满足招标文件要求且报价最低的报价为评标基准价，其价格分为满分，其他报价人的价格分统一按下列公式计算：报价得分=（评标基准价/报价）×价格权值。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737" w:type="dxa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商务部分</w:t>
            </w:r>
          </w:p>
        </w:tc>
        <w:tc>
          <w:tcPr>
            <w:tcW w:w="737" w:type="dxa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68" w:type="dxa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供应商业绩（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分）</w:t>
            </w:r>
          </w:p>
        </w:tc>
        <w:tc>
          <w:tcPr>
            <w:tcW w:w="6917" w:type="dxa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根据供应商在中国境内近三年（202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月至本采购活动遴选公告日期，合同或协议签字日期为准）承担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类车辆服务业绩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进行评价，有一个业绩得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分，最高得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8" w:hRule="atLeast"/>
        </w:trPr>
        <w:tc>
          <w:tcPr>
            <w:tcW w:w="73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技术部分</w:t>
            </w:r>
          </w:p>
        </w:tc>
        <w:tc>
          <w:tcPr>
            <w:tcW w:w="73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4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内部管理制度（10分）</w:t>
            </w:r>
          </w:p>
        </w:tc>
        <w:tc>
          <w:tcPr>
            <w:tcW w:w="6917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供应商根据本项目的服务内容，提供本单位的内部管理制度（必须包含但不限于人事管理制度、安全管理制度），要求制度合理，评审人员对提供制度整体评分。</w:t>
            </w:r>
          </w:p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制度齐全能够充分满足本项目实际需求，管理制度能够很好保障车辆服务过程中的包含但不限于安全、服务、时效、卫生等相关保障，得10分。</w:t>
            </w:r>
          </w:p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制度相对齐全能够较好满足本项目实际需求，管理制度能够较好保障车辆服务过程中的包含但不限于安全、服务、时效、卫生等相关保障，得7分。</w:t>
            </w:r>
          </w:p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制度较齐全能够基本满足本项目实际需求，管理制度能够基本保障车辆服务过程中的包含但不限于安全、服务、时效、卫生等相关保障，得4分。</w:t>
            </w:r>
          </w:p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制度不齐全不能满足本项目实际需求，管理制度不能保障会议过程中的相关保障，不得分。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车辆保障（5分）</w:t>
            </w:r>
          </w:p>
        </w:tc>
        <w:tc>
          <w:tcPr>
            <w:tcW w:w="6917" w:type="dxa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配备不少于3辆5座轿车（B级以上）和不少于3辆7座商务车，得5分。</w:t>
            </w:r>
          </w:p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注：须提供车辆行驶证复印件和车辆照片。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人员配备(15分）</w:t>
            </w:r>
          </w:p>
        </w:tc>
        <w:tc>
          <w:tcPr>
            <w:tcW w:w="6917" w:type="dxa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参与遴选人为本项目配备专职对接人员、接机人员等服务人员不少于11人（不包含专职司机），人员配备科学合理、人员经验齐全得10分；</w:t>
            </w:r>
          </w:p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人员配备较科学合理、人员资质基本齐全得5分至9分；</w:t>
            </w:r>
          </w:p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人员配备欠完整、人员资质较差得2分至4分；</w:t>
            </w:r>
          </w:p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无内容或不满足招标文件要求得0分。</w:t>
            </w:r>
          </w:p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注：须提供人员配置及职能设定说明及承诺书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17" w:type="dxa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配备不少于6名专职司机，且每人均具有5年以上驾龄，得5分。</w:t>
            </w:r>
          </w:p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注：须提供专职司机驾驶证复印件。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73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服务部分</w:t>
            </w:r>
          </w:p>
        </w:tc>
        <w:tc>
          <w:tcPr>
            <w:tcW w:w="73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468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车辆服务方案（15分）</w:t>
            </w:r>
          </w:p>
        </w:tc>
        <w:tc>
          <w:tcPr>
            <w:tcW w:w="6917" w:type="dxa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根据参与遴选人提供的拟配备车辆状况描述、用车保障等方案进行综合评议。</w:t>
            </w:r>
          </w:p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方案具备针对性、可行性得15分；</w:t>
            </w:r>
          </w:p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方案部分具备针对性、可行性一般，基本可以满足需求得10分至14分；</w:t>
            </w:r>
          </w:p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方案针对性不强、可行性较差得4分至9分；</w:t>
            </w:r>
          </w:p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未提供方案或不满足需求文件要求得0分。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应急预案</w:t>
            </w:r>
          </w:p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6917" w:type="dxa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对用户的响应时间、处理措施、突发事件的应急措施及方案等</w:t>
            </w:r>
          </w:p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突发事件的应急措施、应急方案，措施完整、合理能充分满足本项目的实际需要得 10分:</w:t>
            </w:r>
          </w:p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制定的突发事件的应急措施、应急方案，基本满足本项目的实际需要得 5分至9 分;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制定的突发事件的应急措施、应急方案，能大部分满足本项目的实际需要得1分至5分;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未提供应急方案或方案完全不满足，得0分。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737" w:type="dxa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737" w:type="dxa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68" w:type="dxa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服务保障</w:t>
            </w:r>
          </w:p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</w:t>
            </w:r>
          </w:p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（5分）</w:t>
            </w:r>
          </w:p>
        </w:tc>
        <w:tc>
          <w:tcPr>
            <w:tcW w:w="6917" w:type="dxa"/>
            <w:vAlign w:val="center"/>
          </w:tcPr>
          <w:p>
            <w:pPr>
              <w:spacing w:after="0" w:line="360" w:lineRule="auto"/>
              <w:ind w:firstLine="240" w:firstLineChars="100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提供项目实施质量、效果、进度的保障措施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相关承诺书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以及保密承诺的承诺书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提供且承诺内容合理5分，未承诺或内容不合理不得分</w:t>
            </w:r>
          </w:p>
        </w:tc>
      </w:tr>
    </w:tbl>
    <w:p>
      <w:pPr>
        <w:spacing w:after="0" w:line="360" w:lineRule="auto"/>
        <w:ind w:firstLine="240" w:firstLineChars="100"/>
        <w:outlineLvl w:val="1"/>
        <w:rPr>
          <w:rFonts w:hint="default" w:ascii="仿宋" w:hAnsi="仿宋" w:eastAsia="仿宋" w:cs="宋体"/>
          <w:sz w:val="24"/>
          <w:lang w:val="en-US" w:eastAsia="zh-CN"/>
        </w:rPr>
      </w:pPr>
    </w:p>
    <w:p>
      <w:pPr>
        <w:spacing w:after="0" w:line="360" w:lineRule="auto"/>
        <w:ind w:firstLine="240" w:firstLineChars="100"/>
        <w:outlineLvl w:val="1"/>
        <w:rPr>
          <w:rFonts w:hint="default" w:ascii="仿宋" w:hAnsi="仿宋" w:eastAsia="仿宋" w:cs="宋体"/>
          <w:sz w:val="24"/>
          <w:lang w:val="en-US" w:eastAsia="zh-CN"/>
        </w:rPr>
      </w:pPr>
    </w:p>
    <w:p>
      <w:pPr>
        <w:spacing w:after="0" w:line="360" w:lineRule="auto"/>
        <w:ind w:firstLine="240" w:firstLineChars="100"/>
        <w:outlineLvl w:val="1"/>
        <w:rPr>
          <w:rFonts w:hint="default" w:ascii="仿宋" w:hAnsi="仿宋" w:eastAsia="仿宋" w:cs="宋体"/>
          <w:sz w:val="24"/>
          <w:lang w:val="en-US" w:eastAsia="zh-CN"/>
        </w:rPr>
      </w:pPr>
    </w:p>
    <w:p>
      <w:pPr>
        <w:spacing w:after="0" w:line="360" w:lineRule="auto"/>
        <w:ind w:firstLine="240" w:firstLineChars="100"/>
        <w:outlineLvl w:val="1"/>
        <w:rPr>
          <w:rFonts w:hint="default" w:ascii="仿宋" w:hAnsi="仿宋" w:eastAsia="仿宋" w:cs="宋体"/>
          <w:sz w:val="24"/>
          <w:lang w:val="en-US" w:eastAsia="zh-CN"/>
        </w:rPr>
      </w:pPr>
    </w:p>
    <w:p>
      <w:pPr>
        <w:spacing w:after="0" w:line="360" w:lineRule="auto"/>
        <w:ind w:firstLine="240" w:firstLineChars="100"/>
        <w:outlineLvl w:val="1"/>
        <w:rPr>
          <w:rFonts w:hint="default" w:ascii="仿宋" w:hAnsi="仿宋" w:eastAsia="仿宋" w:cs="宋体"/>
          <w:sz w:val="24"/>
          <w:lang w:val="en-US" w:eastAsia="zh-CN"/>
        </w:rPr>
      </w:pPr>
    </w:p>
    <w:p>
      <w:pPr>
        <w:spacing w:after="0" w:line="360" w:lineRule="auto"/>
        <w:ind w:firstLine="240" w:firstLineChars="100"/>
        <w:outlineLvl w:val="1"/>
        <w:rPr>
          <w:rFonts w:hint="default" w:ascii="仿宋" w:hAnsi="仿宋" w:eastAsia="仿宋" w:cs="宋体"/>
          <w:sz w:val="24"/>
          <w:lang w:val="en-US" w:eastAsia="zh-CN"/>
        </w:rPr>
      </w:pPr>
    </w:p>
    <w:p>
      <w:pPr>
        <w:spacing w:after="0" w:line="360" w:lineRule="auto"/>
        <w:ind w:firstLine="240" w:firstLineChars="100"/>
        <w:outlineLvl w:val="1"/>
        <w:rPr>
          <w:rFonts w:hint="default" w:ascii="仿宋" w:hAnsi="仿宋" w:eastAsia="仿宋" w:cs="宋体"/>
          <w:sz w:val="24"/>
          <w:lang w:val="en-US" w:eastAsia="zh-CN"/>
        </w:rPr>
      </w:pPr>
    </w:p>
    <w:p>
      <w:pPr>
        <w:spacing w:after="0" w:line="360" w:lineRule="auto"/>
        <w:ind w:firstLine="240" w:firstLineChars="100"/>
        <w:outlineLvl w:val="1"/>
        <w:rPr>
          <w:rFonts w:hint="default" w:ascii="仿宋" w:hAnsi="仿宋" w:eastAsia="仿宋" w:cs="宋体"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评审文件格式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3"/>
        </w:numPr>
        <w:ind w:lef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资格条款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提供营业执照复印件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提供“信用中国 www.creditchina.gov.cn ）”和“中国政府采购网（ www.ccgp.gov.cn ）”截图。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报价单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车辆报价</w:t>
      </w: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tbl>
      <w:tblPr>
        <w:tblStyle w:val="5"/>
        <w:tblpPr w:leftFromText="180" w:rightFromText="180" w:vertAnchor="text" w:horzAnchor="page" w:tblpX="1704" w:tblpY="259"/>
        <w:tblOverlap w:val="never"/>
        <w:tblW w:w="506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193"/>
        <w:gridCol w:w="1198"/>
        <w:gridCol w:w="1198"/>
        <w:gridCol w:w="1198"/>
        <w:gridCol w:w="1200"/>
        <w:gridCol w:w="12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bidi="ar"/>
              </w:rPr>
              <w:t>车型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bidi="ar"/>
              </w:rPr>
              <w:t>日租价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bidi="ar"/>
              </w:rPr>
              <w:t>超公里单价（日）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bidi="ar"/>
              </w:rPr>
              <w:t>超小时单价（日）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bidi="ar"/>
              </w:rPr>
              <w:t>半日租价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bidi="ar"/>
              </w:rPr>
              <w:t>超公里单价（半日）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bidi="ar"/>
              </w:rPr>
              <w:t>超小时单价（半日）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5座车（B级及以上）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元/公里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元/小时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元/公里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元/小时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7座商务车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元/公里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元/小时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元/公里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元/小时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日租8小时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公里，半日租：4小时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bidi="ar"/>
              </w:rPr>
              <w:t>公里；超过半日租标准，按照日租公式计算：（20点后单独计算超时）高速费和停车费另行计算；周租金按照7天计算，半月租金按照15天计算，月租金按照30天计算；以上报价均包含司机费用。</w:t>
            </w: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人员报价</w:t>
      </w:r>
    </w:p>
    <w:tbl>
      <w:tblPr>
        <w:tblStyle w:val="5"/>
        <w:tblW w:w="83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830"/>
        <w:gridCol w:w="2847"/>
        <w:gridCol w:w="18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人员数量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时间(日）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单价（元/日）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3"/>
        </w:numPr>
        <w:ind w:left="0" w:leftChars="0" w:firstLine="0" w:firstLine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供应商业绩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提供合同包含首页、报价页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3"/>
        </w:numPr>
        <w:ind w:left="0" w:leftChars="0" w:firstLine="0" w:firstLine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内部管理制度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格式自拟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3"/>
        </w:numPr>
        <w:ind w:left="0" w:leftChars="0" w:firstLine="0" w:firstLine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车辆保障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提供不少于三辆B级以上车辆，三两7座商务车行驶证复印件及照片（加盖公章）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3"/>
        </w:numPr>
        <w:ind w:left="0" w:leftChars="0" w:firstLine="0" w:firstLine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人员配置</w:t>
      </w:r>
    </w:p>
    <w:p>
      <w:pPr>
        <w:widowControl w:val="0"/>
        <w:numPr>
          <w:ilvl w:val="0"/>
          <w:numId w:val="5"/>
        </w:numPr>
        <w:ind w:left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提供人员配置及职能设置说明和承诺（格式自拟）</w:t>
      </w:r>
    </w:p>
    <w:p>
      <w:pPr>
        <w:widowControl w:val="0"/>
        <w:numPr>
          <w:ilvl w:val="0"/>
          <w:numId w:val="5"/>
        </w:numPr>
        <w:ind w:left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提供不少于6名专职司机驾驶证复印件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3"/>
        </w:numPr>
        <w:ind w:left="0" w:leftChars="0" w:firstLine="0" w:firstLine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车辆服务方案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格式自拟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3"/>
        </w:numPr>
        <w:ind w:left="0" w:leftChars="0" w:firstLine="0" w:firstLine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应急预案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格式自拟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3"/>
        </w:numPr>
        <w:ind w:left="0" w:leftChars="0" w:firstLine="0" w:firstLine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服务及保密承诺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格式自拟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D7C71"/>
    <w:multiLevelType w:val="singleLevel"/>
    <w:tmpl w:val="859D7C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5A8FD1A"/>
    <w:multiLevelType w:val="singleLevel"/>
    <w:tmpl w:val="85A8FD1A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6911F25"/>
    <w:multiLevelType w:val="singleLevel"/>
    <w:tmpl w:val="06911F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2AE338A"/>
    <w:multiLevelType w:val="singleLevel"/>
    <w:tmpl w:val="22AE338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27A9099"/>
    <w:multiLevelType w:val="singleLevel"/>
    <w:tmpl w:val="427A909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7D6E8F"/>
    <w:rsid w:val="198C5A58"/>
    <w:rsid w:val="1B3B57AB"/>
    <w:rsid w:val="37824D82"/>
    <w:rsid w:val="3DEB6CBB"/>
    <w:rsid w:val="4634620C"/>
    <w:rsid w:val="5437432D"/>
    <w:rsid w:val="556B1847"/>
    <w:rsid w:val="61DB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tabs>
        <w:tab w:val="left" w:pos="8640"/>
      </w:tabs>
      <w:ind w:left="1365"/>
    </w:pPr>
  </w:style>
  <w:style w:type="paragraph" w:styleId="4">
    <w:name w:val="Body Text First Indent 2"/>
    <w:basedOn w:val="3"/>
    <w:qFormat/>
    <w:uiPriority w:val="0"/>
    <w:pPr>
      <w:spacing w:after="120" w:line="480" w:lineRule="exact"/>
      <w:ind w:left="420" w:leftChars="200" w:firstLine="420" w:firstLineChars="200"/>
    </w:pPr>
    <w:rPr>
      <w:rFonts w:asciiTheme="minorHAnsi" w:hAnsiTheme="minorHAnsi" w:cstheme="minorBidi"/>
      <w:sz w:val="24"/>
      <w:szCs w:val="24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宋体" w:hAnsi="宋体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2025-01-08T14:26:00Z</dcterms:created>
  <dc:creator>86138</dc:creator>
  <cp:lastModifiedBy>user</cp:lastModifiedBy>
  <cp:lastPrinted>2025-01-09T06:17:00Z</cp:lastPrinted>
  <dcterms:modified xsi:type="dcterms:W3CDTF">2025-01-26T05:51:42Z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eyJoZGlkIjoiZjAxYTBkMThjNDRkZjgwYjNiOGY0OTQzODQzNTczNGUifQ==</vt:lpwstr>
  </property>
  <property fmtid="{D5CDD505-2E9C-101B-9397-08002B2CF9AE}" pid="4" name="ICV">
    <vt:lpwstr>83BFBC985C1343BCA8DAE39C54DE9DE5</vt:lpwstr>
  </property>
</Properties>
</file>