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755" w:type="dxa"/>
        <w:jc w:val="center"/>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模块</w:t>
            </w:r>
          </w:p>
        </w:tc>
        <w:tc>
          <w:tcPr>
            <w:tcW w:w="7436"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功能详细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pStyle w:val="10"/>
              <w:keepNext w:val="0"/>
              <w:keepLines w:val="0"/>
              <w:numPr>
                <w:ilvl w:val="0"/>
                <w:numId w:val="1"/>
              </w:numPr>
              <w:suppressLineNumbers w:val="0"/>
              <w:spacing w:before="0" w:beforeAutospacing="0" w:after="0" w:afterAutospacing="0"/>
              <w:ind w:left="0" w:right="0" w:hanging="125" w:firstLineChars="0"/>
              <w:jc w:val="center"/>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项目管理</w:t>
            </w:r>
          </w:p>
        </w:tc>
        <w:tc>
          <w:tcPr>
            <w:tcW w:w="7436" w:type="dxa"/>
          </w:tcPr>
          <w:p>
            <w:pPr>
              <w:pStyle w:val="11"/>
              <w:keepNext w:val="0"/>
              <w:keepLines w:val="0"/>
              <w:numPr>
                <w:ilvl w:val="0"/>
                <w:numId w:val="2"/>
              </w:numPr>
              <w:suppressLineNumbers w:val="0"/>
              <w:spacing w:before="0" w:beforeAutospacing="0" w:after="0" w:afterAutospacing="0"/>
              <w:ind w:right="0" w:firstLineChars="0"/>
              <w:rPr>
                <w:rFonts w:hint="default"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支持项目全流程信息化管理，包括但不限于项目立项、审核、样本管理、文件归档管理、结题审核。</w:t>
            </w:r>
          </w:p>
          <w:p>
            <w:pPr>
              <w:pStyle w:val="11"/>
              <w:keepNext w:val="0"/>
              <w:keepLines w:val="0"/>
              <w:numPr>
                <w:ilvl w:val="0"/>
                <w:numId w:val="2"/>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支持项目基本信息录入及维护，包括但不限于项目名称、项目负责人、所属科室、项目状态、项目类型、开始时间、结束时间、项目经费。</w:t>
            </w:r>
          </w:p>
          <w:p>
            <w:pPr>
              <w:pStyle w:val="11"/>
              <w:keepNext w:val="0"/>
              <w:keepLines w:val="0"/>
              <w:numPr>
                <w:ilvl w:val="0"/>
                <w:numId w:val="2"/>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支持项目人员管理，包括但不限于项目组人员配置、系统权限配置。</w:t>
            </w:r>
          </w:p>
          <w:p>
            <w:pPr>
              <w:pStyle w:val="11"/>
              <w:keepNext w:val="0"/>
              <w:keepLines w:val="0"/>
              <w:numPr>
                <w:ilvl w:val="0"/>
                <w:numId w:val="2"/>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支持基于项目名称、状态、人员等条件的综合查询。</w:t>
            </w:r>
          </w:p>
          <w:p>
            <w:pPr>
              <w:pStyle w:val="11"/>
              <w:keepNext w:val="0"/>
              <w:keepLines w:val="0"/>
              <w:numPr>
                <w:ilvl w:val="0"/>
                <w:numId w:val="2"/>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支持项目捐献者信息管理，可查看项目收集进度。</w:t>
            </w:r>
          </w:p>
          <w:p>
            <w:pPr>
              <w:pStyle w:val="11"/>
              <w:keepNext w:val="0"/>
              <w:keepLines w:val="0"/>
              <w:numPr>
                <w:ilvl w:val="0"/>
                <w:numId w:val="2"/>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支持项目流程中产生的材料、文档、合同、知情、批件等文档上传（包括但不限于.doc、.docx、.pdf、.xls、.jpg）。</w:t>
            </w:r>
          </w:p>
          <w:p>
            <w:pPr>
              <w:pStyle w:val="11"/>
              <w:keepNext w:val="0"/>
              <w:keepLines w:val="0"/>
              <w:numPr>
                <w:ilvl w:val="0"/>
                <w:numId w:val="2"/>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支持项目相关科研成果信息录入、维护及查看。</w:t>
            </w:r>
          </w:p>
          <w:p>
            <w:pPr>
              <w:pStyle w:val="11"/>
              <w:keepNext w:val="0"/>
              <w:keepLines w:val="0"/>
              <w:numPr>
                <w:ilvl w:val="0"/>
                <w:numId w:val="2"/>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支持按照项目进行存储空间预分配功能。</w:t>
            </w:r>
          </w:p>
          <w:p>
            <w:pPr>
              <w:pStyle w:val="11"/>
              <w:keepNext w:val="0"/>
              <w:keepLines w:val="0"/>
              <w:numPr>
                <w:ilvl w:val="0"/>
                <w:numId w:val="2"/>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支持从科教管理系统中获取项目登记及审批管理功能。</w:t>
            </w:r>
          </w:p>
          <w:p>
            <w:pPr>
              <w:pStyle w:val="11"/>
              <w:keepNext w:val="0"/>
              <w:keepLines w:val="0"/>
              <w:numPr>
                <w:ilvl w:val="0"/>
                <w:numId w:val="2"/>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支持从OA系统中获取项目样本入库、出库合作项目必要信息和审批情况。</w:t>
            </w:r>
          </w:p>
          <w:p>
            <w:pPr>
              <w:pStyle w:val="11"/>
              <w:keepNext w:val="0"/>
              <w:keepLines w:val="0"/>
              <w:numPr>
                <w:ilvl w:val="0"/>
                <w:numId w:val="2"/>
              </w:numPr>
              <w:suppressLineNumbers w:val="0"/>
              <w:spacing w:before="0" w:beforeAutospacing="0" w:after="0" w:afterAutospacing="0"/>
              <w:ind w:right="0" w:firstLineChars="0"/>
              <w:rPr>
                <w:rFonts w:hint="default" w:asciiTheme="minorEastAsia" w:hAnsiTheme="minorEastAsia" w:eastAsiaTheme="minorEastAsia" w:cstheme="minorBidi"/>
                <w:color w:val="auto"/>
                <w:sz w:val="24"/>
              </w:rPr>
            </w:pPr>
            <w:r>
              <w:rPr>
                <w:rFonts w:hint="eastAsia" w:asciiTheme="minorEastAsia" w:hAnsiTheme="minorEastAsia" w:eastAsiaTheme="minorEastAsia" w:cstheme="minorBidi"/>
                <w:color w:val="auto"/>
                <w:sz w:val="24"/>
                <w:lang w:val="en-US" w:eastAsia="zh-CN"/>
              </w:rPr>
              <w:t>支持科研随访管理功能，可登记随访患者的基本信息，可导出随访患者信息，可查看随访患者的随访进度和结果，可查看待随访人员列表。</w:t>
            </w:r>
          </w:p>
          <w:p>
            <w:pPr>
              <w:pStyle w:val="11"/>
              <w:keepNext w:val="0"/>
              <w:keepLines w:val="0"/>
              <w:numPr>
                <w:ilvl w:val="0"/>
                <w:numId w:val="2"/>
              </w:numPr>
              <w:suppressLineNumbers w:val="0"/>
              <w:spacing w:before="0" w:beforeAutospacing="0" w:after="0" w:afterAutospacing="0"/>
              <w:ind w:right="0" w:firstLineChars="0"/>
              <w:rPr>
                <w:rFonts w:hint="default" w:asciiTheme="minorEastAsia" w:hAnsiTheme="minorEastAsia" w:eastAsiaTheme="minorEastAsia" w:cstheme="minorBidi"/>
                <w:color w:val="auto"/>
                <w:sz w:val="24"/>
              </w:rPr>
            </w:pPr>
            <w:r>
              <w:rPr>
                <w:rFonts w:hint="eastAsia" w:asciiTheme="minorEastAsia" w:hAnsiTheme="minorEastAsia" w:eastAsiaTheme="minorEastAsia" w:cstheme="minorBidi"/>
                <w:color w:val="auto"/>
                <w:sz w:val="24"/>
                <w:lang w:val="en-US" w:eastAsia="zh-CN"/>
              </w:rPr>
              <w:t>支持按照随访人员列出其对应的任务表，可查看该任务下的所有患者的随访结果、完成率等，可查看某患者随访历史信息、随访问卷信息、患者基本信息、本次随访详情等。</w:t>
            </w:r>
          </w:p>
          <w:p>
            <w:pPr>
              <w:pStyle w:val="11"/>
              <w:keepNext w:val="0"/>
              <w:keepLines w:val="0"/>
              <w:numPr>
                <w:ilvl w:val="0"/>
                <w:numId w:val="2"/>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eastAsia" w:asciiTheme="minorEastAsia" w:hAnsiTheme="minorEastAsia" w:eastAsiaTheme="minorEastAsia" w:cstheme="minorBidi"/>
                <w:color w:val="auto"/>
                <w:sz w:val="24"/>
                <w:lang w:val="en-US" w:eastAsia="zh-CN"/>
              </w:rPr>
              <w:t>支持每日随访任务数的提示功能。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pStyle w:val="10"/>
              <w:keepNext w:val="0"/>
              <w:keepLines w:val="0"/>
              <w:numPr>
                <w:ilvl w:val="0"/>
                <w:numId w:val="1"/>
              </w:numPr>
              <w:suppressLineNumbers w:val="0"/>
              <w:spacing w:before="0" w:beforeAutospacing="0" w:after="0" w:afterAutospacing="0"/>
              <w:ind w:left="0" w:right="0" w:hanging="125" w:firstLineChars="0"/>
              <w:jc w:val="center"/>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样本管理</w:t>
            </w:r>
          </w:p>
        </w:tc>
        <w:tc>
          <w:tcPr>
            <w:tcW w:w="7436" w:type="dxa"/>
          </w:tcPr>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支持样本（血液、组织、体液等）全流程管理，包括但不限于采集、登记、预处理、入库、出库、质控、销毁。</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w:t>
            </w: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多方式获取样本源信息，如手工登记样本源信息、从HIS系统中提取样本源信息、从文件中批量抓取样本源信息。</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支持对未处理的组织在脱水前进行批量建包管理，创建脱水批次包。</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color w:val="auto"/>
                <w:sz w:val="24"/>
              </w:rPr>
            </w:pPr>
            <w:r>
              <w:rPr>
                <w:rFonts w:hint="eastAsia" w:asciiTheme="minorEastAsia" w:hAnsiTheme="minorEastAsia" w:eastAsiaTheme="minorEastAsia" w:cstheme="minorBidi"/>
                <w:color w:val="auto"/>
                <w:sz w:val="24"/>
                <w:lang w:val="en-US" w:eastAsia="zh-CN"/>
              </w:rPr>
              <w:t>支持样本基本信息管理，可自定义样本信息结构及字段内容，并可导出样本信息。</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color w:val="auto"/>
                <w:sz w:val="24"/>
              </w:rPr>
            </w:pPr>
            <w:r>
              <w:rPr>
                <w:rFonts w:hint="eastAsia" w:asciiTheme="minorEastAsia" w:hAnsiTheme="minorEastAsia" w:eastAsiaTheme="minorEastAsia" w:cstheme="minorBidi"/>
                <w:color w:val="auto"/>
                <w:sz w:val="24"/>
                <w:lang w:val="en-US" w:eastAsia="zh-CN"/>
              </w:rPr>
              <w:t>支持临床信息和样本信息常用相关字段的设置。</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sz w:val="24"/>
                <w:highlight w:val="none"/>
              </w:rPr>
            </w:pPr>
            <w:r>
              <w:rPr>
                <w:rFonts w:hint="eastAsia" w:asciiTheme="minorEastAsia" w:hAnsiTheme="minorEastAsia" w:eastAsiaTheme="minorEastAsia" w:cstheme="minorBidi"/>
                <w:strike w:val="0"/>
                <w:dstrike w:val="0"/>
                <w:sz w:val="24"/>
                <w:highlight w:val="none"/>
                <w:lang w:val="en-US" w:eastAsia="zh-CN"/>
              </w:rPr>
              <w:t>支持按照标本类型、样本类型、储存形式、分装份数生成样本编号</w:t>
            </w:r>
            <w:r>
              <w:rPr>
                <w:rFonts w:hint="eastAsia" w:asciiTheme="minorEastAsia" w:hAnsiTheme="minorEastAsia" w:eastAsiaTheme="minorEastAsia" w:cstheme="minorBidi"/>
                <w:sz w:val="24"/>
                <w:highlight w:val="none"/>
                <w:lang w:val="en-US" w:eastAsia="zh-CN"/>
              </w:rPr>
              <w:t>。</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支持可对多次入院或体检者进行自动识别，鉴别是否为同一捐献者，并在登记界面显示同一捐献者的不同批次标本号。</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支持自动识别不同项目、不同分库中同一捐献者的样本号。</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color w:val="auto"/>
                <w:sz w:val="24"/>
              </w:rPr>
            </w:pPr>
            <w:r>
              <w:rPr>
                <w:rFonts w:hint="eastAsia" w:asciiTheme="minorEastAsia" w:hAnsiTheme="minorEastAsia" w:eastAsiaTheme="minorEastAsia" w:cstheme="minorBidi"/>
                <w:color w:val="auto"/>
                <w:sz w:val="24"/>
                <w:lang w:val="en-US" w:eastAsia="zh-CN"/>
              </w:rPr>
              <w:t>支持自动识别、标识捐献者样本类型，如健康时期、疾病时期样本，可关联捐献者家系成员信息并管理及提示。</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支持样本采集图像、组织显微图像或其他文档图像的导入、保存、查看和导出功能。</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支持传染性疾病预警提示功能，提醒工作人员和样本申请使用者注意，提示划区（有传染性标识的冰箱、气相液氮罐）进行存储管理。</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支持样本状态标识，如“待入库”、“已出库”、“待出库”等。</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支持样本前处理信息管理，可记录衍生样本信息，可关联原样本信息，可对衍生样本数据进行追溯。</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支持样本分装参数设置，可根据库类型、样本类型对分装参数进行设置，录入时自动生成。</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支持样本条码打印管理，可进行多级条码设计及打印。</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扫描组织样本条码确认组织样本相关信息，包括但不限于脱水操作人员、脱水时间、包埋操作人员、包埋时间、蜡块存放位置、切片人员、切片时间、染色操作人、染色完成时间，并可通过扫码自动按照蜡块号生成玻片号，并图示玻片存放位置。</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支持各种样本前处理仪器设备对接，包括但不限于血样本、RNA/DNA提取仪、离心机、组织处理仪器。</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color w:val="auto"/>
                <w:sz w:val="24"/>
              </w:rPr>
            </w:pPr>
            <w:r>
              <w:rPr>
                <w:rFonts w:hint="eastAsia" w:asciiTheme="minorEastAsia" w:hAnsiTheme="minorEastAsia" w:eastAsiaTheme="minorEastAsia" w:cstheme="minorBidi"/>
                <w:color w:val="auto"/>
                <w:sz w:val="24"/>
                <w:lang w:val="en-US" w:eastAsia="zh-CN"/>
              </w:rPr>
              <w:t>支持定制设备联网，包括但不限于全功能酶标仪、自动化液体处理工作站，可接收设备产生的样本相关详细信息，并可进行信息关联和处理。</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color w:val="auto"/>
                <w:sz w:val="24"/>
              </w:rPr>
            </w:pPr>
            <w:r>
              <w:rPr>
                <w:rFonts w:hint="eastAsia" w:asciiTheme="minorEastAsia" w:hAnsiTheme="minorEastAsia" w:eastAsiaTheme="minorEastAsia" w:cstheme="minorBidi"/>
                <w:color w:val="auto"/>
                <w:sz w:val="24"/>
                <w:lang w:val="en-US" w:eastAsia="zh-CN"/>
              </w:rPr>
              <w:t>支持知情同意书的翻拍、上传、保存及查看。</w:t>
            </w:r>
          </w:p>
          <w:p>
            <w:pPr>
              <w:pStyle w:val="10"/>
              <w:keepNext w:val="0"/>
              <w:keepLines w:val="0"/>
              <w:numPr>
                <w:ilvl w:val="0"/>
                <w:numId w:val="3"/>
              </w:numPr>
              <w:suppressLineNumbers w:val="0"/>
              <w:spacing w:before="0" w:beforeAutospacing="0" w:after="0" w:afterAutospacing="0"/>
              <w:ind w:right="0" w:firstLineChars="0"/>
              <w:jc w:val="left"/>
              <w:rPr>
                <w:rFonts w:hint="default" w:asciiTheme="minorEastAsia" w:hAnsiTheme="minorEastAsia" w:eastAsiaTheme="minorEastAsia" w:cstheme="minorBidi"/>
                <w:sz w:val="24"/>
              </w:rPr>
            </w:pPr>
            <w:r>
              <w:rPr>
                <w:rFonts w:hint="eastAsia" w:asciiTheme="minorEastAsia" w:hAnsiTheme="minorEastAsia" w:eastAsiaTheme="minorEastAsia" w:cstheme="minorBidi"/>
                <w:color w:val="auto"/>
                <w:sz w:val="24"/>
                <w:lang w:val="en-US" w:eastAsia="zh-CN"/>
              </w:rPr>
              <w:t>支持提供样本冻融次数、样本容量、到期日期、最后一管等预警管理功能。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pStyle w:val="10"/>
              <w:keepNext w:val="0"/>
              <w:keepLines w:val="0"/>
              <w:numPr>
                <w:ilvl w:val="0"/>
                <w:numId w:val="1"/>
              </w:numPr>
              <w:suppressLineNumbers w:val="0"/>
              <w:spacing w:before="0" w:beforeAutospacing="0" w:after="0" w:afterAutospacing="0"/>
              <w:ind w:left="0" w:right="0" w:hanging="125" w:firstLineChars="0"/>
              <w:jc w:val="center"/>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容器空间管理</w:t>
            </w:r>
          </w:p>
        </w:tc>
        <w:tc>
          <w:tcPr>
            <w:tcW w:w="7436" w:type="dxa"/>
          </w:tcPr>
          <w:p>
            <w:pPr>
              <w:pStyle w:val="10"/>
              <w:keepNext w:val="0"/>
              <w:keepLines w:val="0"/>
              <w:numPr>
                <w:ilvl w:val="0"/>
                <w:numId w:val="4"/>
              </w:numPr>
              <w:suppressLineNumbers w:val="0"/>
              <w:spacing w:before="0" w:beforeAutospacing="0" w:after="0" w:afterAutospacing="0"/>
              <w:ind w:right="0" w:firstLineChars="0"/>
              <w:jc w:val="left"/>
              <w:rPr>
                <w:rFonts w:hint="eastAsia" w:asciiTheme="minorEastAsia" w:hAnsiTheme="minorEastAsia" w:eastAsiaTheme="minorEastAsia" w:cstheme="minorBidi"/>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支持生物样本库人员自定义冰箱、液氮罐、切片柜、石蜡柜、冻存管、冻存盒、冻存架等存储容器的空间结构及分区。</w:t>
            </w:r>
          </w:p>
          <w:p>
            <w:pPr>
              <w:pStyle w:val="10"/>
              <w:keepNext w:val="0"/>
              <w:keepLines w:val="0"/>
              <w:numPr>
                <w:ilvl w:val="0"/>
                <w:numId w:val="4"/>
              </w:numPr>
              <w:suppressLineNumbers w:val="0"/>
              <w:spacing w:before="0" w:beforeAutospacing="0" w:after="0" w:afterAutospacing="0"/>
              <w:ind w:right="0" w:firstLineChars="0"/>
              <w:jc w:val="left"/>
              <w:rPr>
                <w:rFonts w:hint="default"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支持存储空间可视化显示，可显示实际分区、容器、冻存盒等结构，可显示全部冰箱、液氮罐的存储空间情况，可显示所有存储容器空间及编号，并可对每个样本进行概括性说明。</w:t>
            </w:r>
          </w:p>
          <w:p>
            <w:pPr>
              <w:pStyle w:val="10"/>
              <w:keepNext w:val="0"/>
              <w:keepLines w:val="0"/>
              <w:numPr>
                <w:ilvl w:val="0"/>
                <w:numId w:val="4"/>
              </w:numPr>
              <w:suppressLineNumbers w:val="0"/>
              <w:spacing w:before="0" w:beforeAutospacing="0" w:after="0" w:afterAutospacing="0"/>
              <w:ind w:right="0" w:firstLineChars="0"/>
              <w:jc w:val="left"/>
              <w:rPr>
                <w:rFonts w:hint="default"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支持分别设置每个冻存架的预设标本类型及样本类型参数，支持冻存容器访问权限的设置。</w:t>
            </w:r>
          </w:p>
          <w:p>
            <w:pPr>
              <w:pStyle w:val="10"/>
              <w:keepNext w:val="0"/>
              <w:keepLines w:val="0"/>
              <w:numPr>
                <w:ilvl w:val="0"/>
                <w:numId w:val="4"/>
              </w:numPr>
              <w:suppressLineNumbers w:val="0"/>
              <w:spacing w:before="0" w:beforeAutospacing="0" w:after="0" w:afterAutospacing="0"/>
              <w:ind w:right="0" w:firstLineChars="0"/>
              <w:jc w:val="left"/>
              <w:rPr>
                <w:rFonts w:hint="default"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支持存储空间统计功能，可统计不同存储空间的总容量、利用率及储存的标本类型等信息，可自定义多种颜色提示样本的存储容量。</w:t>
            </w:r>
          </w:p>
          <w:p>
            <w:pPr>
              <w:pStyle w:val="10"/>
              <w:keepNext w:val="0"/>
              <w:keepLines w:val="0"/>
              <w:numPr>
                <w:ilvl w:val="0"/>
                <w:numId w:val="4"/>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支持存储空间利用率阈值设置，低于阈值提示用户进行空间整理，可提供最佳存储空间整理方案，可列出其中盒与盒的匹配清单，可采用图示拖拉法直接操作，同时保留历史存放痕迹。</w:t>
            </w:r>
          </w:p>
          <w:p>
            <w:pPr>
              <w:pStyle w:val="10"/>
              <w:keepNext w:val="0"/>
              <w:keepLines w:val="0"/>
              <w:numPr>
                <w:ilvl w:val="0"/>
                <w:numId w:val="4"/>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支持液氮罐架子盒子编号的顺向或逆向排序编号。</w:t>
            </w:r>
          </w:p>
          <w:p>
            <w:pPr>
              <w:pStyle w:val="10"/>
              <w:keepNext w:val="0"/>
              <w:keepLines w:val="0"/>
              <w:numPr>
                <w:ilvl w:val="0"/>
                <w:numId w:val="4"/>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支持不同存储形式的样本转移管理，包括单个样本、一盒样本或一个冻存架保存的样本、匹配容器之间保存的样本位置转移，位置信息自动更新。</w:t>
            </w:r>
          </w:p>
          <w:p>
            <w:pPr>
              <w:pStyle w:val="10"/>
              <w:keepNext w:val="0"/>
              <w:keepLines w:val="0"/>
              <w:numPr>
                <w:ilvl w:val="0"/>
                <w:numId w:val="4"/>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支持不同库类型（如血液库、体液库、项目库等）分别独立管理样本，查询时可根据权限自动匹配并显示同一捐献者在不同库的所有样本信息。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pStyle w:val="10"/>
              <w:keepNext w:val="0"/>
              <w:keepLines w:val="0"/>
              <w:numPr>
                <w:ilvl w:val="0"/>
                <w:numId w:val="1"/>
              </w:numPr>
              <w:suppressLineNumbers w:val="0"/>
              <w:spacing w:before="0" w:beforeAutospacing="0" w:after="0" w:afterAutospacing="0"/>
              <w:ind w:left="0" w:right="0" w:hanging="125" w:firstLineChars="0"/>
              <w:jc w:val="center"/>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样本入库管理</w:t>
            </w:r>
          </w:p>
        </w:tc>
        <w:tc>
          <w:tcPr>
            <w:tcW w:w="7436" w:type="dxa"/>
          </w:tcPr>
          <w:p>
            <w:pPr>
              <w:pStyle w:val="10"/>
              <w:keepNext w:val="0"/>
              <w:keepLines w:val="0"/>
              <w:numPr>
                <w:ilvl w:val="0"/>
                <w:numId w:val="5"/>
              </w:numPr>
              <w:suppressLineNumbers w:val="0"/>
              <w:spacing w:before="0" w:beforeAutospacing="0" w:after="0" w:afterAutospacing="0"/>
              <w:ind w:right="0" w:firstLineChars="0"/>
              <w:jc w:val="left"/>
              <w:rPr>
                <w:rFonts w:hint="default" w:asciiTheme="minorEastAsia" w:hAnsiTheme="minorEastAsia" w:eastAsiaTheme="minorEastAsia" w:cstheme="minorBidi"/>
                <w:sz w:val="24"/>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支持按照存储需求对冰箱、液氮罐及冻存架进行分类定义，适用于不同分库、不同类型的标本、不同冻存管类型进行分区域存放。</w:t>
            </w:r>
          </w:p>
          <w:p>
            <w:pPr>
              <w:pStyle w:val="10"/>
              <w:keepNext w:val="0"/>
              <w:keepLines w:val="0"/>
              <w:numPr>
                <w:ilvl w:val="0"/>
                <w:numId w:val="5"/>
              </w:numPr>
              <w:suppressLineNumbers w:val="0"/>
              <w:spacing w:before="0" w:beforeAutospacing="0" w:after="0" w:afterAutospacing="0"/>
              <w:ind w:right="0" w:firstLineChars="0"/>
              <w:jc w:val="left"/>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支持多种入库方式，可以冻存盒、贴码管、预置管的方式进行入库。</w:t>
            </w:r>
          </w:p>
          <w:p>
            <w:pPr>
              <w:pStyle w:val="10"/>
              <w:keepNext w:val="0"/>
              <w:keepLines w:val="0"/>
              <w:numPr>
                <w:ilvl w:val="0"/>
                <w:numId w:val="5"/>
              </w:numPr>
              <w:suppressLineNumbers w:val="0"/>
              <w:spacing w:before="0" w:beforeAutospacing="0" w:after="0" w:afterAutospacing="0"/>
              <w:ind w:right="0" w:firstLineChars="0"/>
              <w:jc w:val="left"/>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支持按照库类型自定义批量输入模板进行模板入库，可进行单个样本入库，并可互相切换。</w:t>
            </w:r>
          </w:p>
          <w:p>
            <w:pPr>
              <w:pStyle w:val="10"/>
              <w:keepNext w:val="0"/>
              <w:keepLines w:val="0"/>
              <w:numPr>
                <w:ilvl w:val="0"/>
                <w:numId w:val="5"/>
              </w:numPr>
              <w:suppressLineNumbers w:val="0"/>
              <w:spacing w:before="0" w:beforeAutospacing="0" w:after="0" w:afterAutospacing="0"/>
              <w:ind w:right="0" w:firstLineChars="0"/>
              <w:jc w:val="left"/>
              <w:rPr>
                <w:rFonts w:hint="default"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支持存储位置可视化管理，通过扫描条形码或二维码生成样本编号，并自动定位样本存放位置，并精确的显示样本存放空间位置。</w:t>
            </w:r>
          </w:p>
          <w:p>
            <w:pPr>
              <w:pStyle w:val="10"/>
              <w:keepNext w:val="0"/>
              <w:keepLines w:val="0"/>
              <w:numPr>
                <w:ilvl w:val="0"/>
                <w:numId w:val="5"/>
              </w:numPr>
              <w:suppressLineNumbers w:val="0"/>
              <w:spacing w:before="0" w:beforeAutospacing="0" w:after="0" w:afterAutospacing="0"/>
              <w:ind w:right="0" w:firstLineChars="0"/>
              <w:jc w:val="left"/>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支持样本暂存入库，可同时生成暂存与最终入库位置，并可显示在同一界面，便于样本直接入库。</w:t>
            </w:r>
          </w:p>
          <w:p>
            <w:pPr>
              <w:pStyle w:val="10"/>
              <w:keepNext w:val="0"/>
              <w:keepLines w:val="0"/>
              <w:numPr>
                <w:ilvl w:val="0"/>
                <w:numId w:val="5"/>
              </w:numPr>
              <w:suppressLineNumbers w:val="0"/>
              <w:spacing w:before="0" w:beforeAutospacing="0" w:after="0" w:afterAutospacing="0"/>
              <w:ind w:right="0" w:firstLineChars="0"/>
              <w:jc w:val="left"/>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支持样本预录入功能，只录入样本信息，暂不指定存储位置。</w:t>
            </w:r>
          </w:p>
          <w:p>
            <w:pPr>
              <w:pStyle w:val="10"/>
              <w:keepNext w:val="0"/>
              <w:keepLines w:val="0"/>
              <w:numPr>
                <w:ilvl w:val="0"/>
                <w:numId w:val="5"/>
              </w:numPr>
              <w:suppressLineNumbers w:val="0"/>
              <w:spacing w:before="0" w:beforeAutospacing="0" w:after="0" w:afterAutospacing="0"/>
              <w:ind w:right="0" w:firstLineChars="0"/>
              <w:jc w:val="left"/>
              <w:rPr>
                <w:rFonts w:hint="default"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支持组织样本与血样样本的配对管理功能。</w:t>
            </w:r>
          </w:p>
          <w:p>
            <w:pPr>
              <w:pStyle w:val="10"/>
              <w:keepNext w:val="0"/>
              <w:keepLines w:val="0"/>
              <w:numPr>
                <w:ilvl w:val="0"/>
                <w:numId w:val="5"/>
              </w:numPr>
              <w:suppressLineNumbers w:val="0"/>
              <w:spacing w:before="0" w:beforeAutospacing="0" w:after="0" w:afterAutospacing="0"/>
              <w:ind w:right="0" w:firstLineChars="0"/>
              <w:jc w:val="left"/>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样本入库时，支持样本分析前变量相关信息的录入。</w:t>
            </w:r>
          </w:p>
          <w:p>
            <w:pPr>
              <w:pStyle w:val="10"/>
              <w:keepNext w:val="0"/>
              <w:keepLines w:val="0"/>
              <w:numPr>
                <w:ilvl w:val="0"/>
                <w:numId w:val="5"/>
              </w:numPr>
              <w:suppressLineNumbers w:val="0"/>
              <w:spacing w:before="0" w:beforeAutospacing="0" w:after="0" w:afterAutospacing="0"/>
              <w:ind w:right="0" w:firstLineChars="0"/>
              <w:jc w:val="left"/>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支持各种样本类型的样本入库单打印。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pStyle w:val="10"/>
              <w:keepNext w:val="0"/>
              <w:keepLines w:val="0"/>
              <w:numPr>
                <w:ilvl w:val="0"/>
                <w:numId w:val="1"/>
              </w:numPr>
              <w:suppressLineNumbers w:val="0"/>
              <w:spacing w:before="0" w:beforeAutospacing="0" w:after="0" w:afterAutospacing="0"/>
              <w:ind w:left="0" w:right="0" w:hanging="125" w:firstLineChars="0"/>
              <w:jc w:val="center"/>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样本出库管理</w:t>
            </w:r>
          </w:p>
        </w:tc>
        <w:tc>
          <w:tcPr>
            <w:tcW w:w="7436" w:type="dxa"/>
          </w:tcPr>
          <w:p>
            <w:pPr>
              <w:pStyle w:val="10"/>
              <w:keepNext w:val="0"/>
              <w:keepLines w:val="0"/>
              <w:numPr>
                <w:ilvl w:val="0"/>
                <w:numId w:val="6"/>
              </w:numPr>
              <w:suppressLineNumbers w:val="0"/>
              <w:spacing w:before="0" w:beforeAutospacing="0" w:after="0" w:afterAutospacing="0"/>
              <w:ind w:right="0" w:firstLineChars="0"/>
              <w:jc w:val="left"/>
              <w:rPr>
                <w:rFonts w:hint="eastAsia" w:asciiTheme="minorEastAsia" w:hAnsiTheme="minorEastAsia" w:eastAsiaTheme="minorEastAsia" w:cstheme="minorBidi"/>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Bidi"/>
                <w:sz w:val="24"/>
                <w:lang w:val="en-US" w:eastAsia="zh-CN"/>
              </w:rPr>
              <w:t>支持样本批量出库功能，</w:t>
            </w: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按照出库条件进行的样本查询功能，方便样本批量出库</w:t>
            </w:r>
            <w:r>
              <w:rPr>
                <w:rFonts w:hint="eastAsia" w:asciiTheme="minorEastAsia" w:hAnsiTheme="minorEastAsia" w:eastAsiaTheme="minorEastAsia" w:cstheme="minorBidi"/>
                <w:sz w:val="24"/>
                <w:lang w:val="en-US" w:eastAsia="zh-CN"/>
              </w:rPr>
              <w:t>，当出库样本数量小于当前库存量时，可按照分样数多的排序提示优先出库。</w:t>
            </w:r>
          </w:p>
          <w:p>
            <w:pPr>
              <w:pStyle w:val="10"/>
              <w:keepNext w:val="0"/>
              <w:keepLines w:val="0"/>
              <w:numPr>
                <w:ilvl w:val="0"/>
                <w:numId w:val="6"/>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支持非采集项目样本的出库，即样本由另一个项目采集，申请用于其他项目。</w:t>
            </w:r>
          </w:p>
          <w:p>
            <w:pPr>
              <w:pStyle w:val="10"/>
              <w:keepNext w:val="0"/>
              <w:keepLines w:val="0"/>
              <w:numPr>
                <w:ilvl w:val="0"/>
                <w:numId w:val="6"/>
              </w:numPr>
              <w:suppressLineNumbers w:val="0"/>
              <w:spacing w:before="0" w:beforeAutospacing="0" w:after="0" w:afterAutospacing="0"/>
              <w:ind w:right="0" w:firstLineChars="0"/>
              <w:jc w:val="left"/>
              <w:rPr>
                <w:rFonts w:hint="eastAsia" w:asciiTheme="minorEastAsia" w:hAnsiTheme="minorEastAsia" w:eastAsiaTheme="minorEastAsia" w:cstheme="minorBidi"/>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支持多种出库方式，如出库后再入库位置保留、出库后再入库位置不保留、出库后不再入库样本信息保留、出库后不再入库样本信息不保留、出库后直接存入等。</w:t>
            </w:r>
          </w:p>
          <w:p>
            <w:pPr>
              <w:pStyle w:val="10"/>
              <w:keepNext w:val="0"/>
              <w:keepLines w:val="0"/>
              <w:numPr>
                <w:ilvl w:val="0"/>
                <w:numId w:val="6"/>
              </w:numPr>
              <w:suppressLineNumbers w:val="0"/>
              <w:spacing w:before="0" w:beforeAutospacing="0" w:after="0" w:afterAutospacing="0"/>
              <w:ind w:right="0" w:firstLineChars="0"/>
              <w:jc w:val="left"/>
              <w:rPr>
                <w:rFonts w:hint="eastAsia" w:asciiTheme="minorEastAsia" w:hAnsiTheme="minorEastAsia" w:eastAsiaTheme="minorEastAsia" w:cstheme="minorBidi"/>
                <w:color w:val="auto"/>
                <w:sz w:val="24"/>
                <w:lang w:val="en-US" w:eastAsia="zh-CN"/>
              </w:rPr>
            </w:pPr>
            <w:r>
              <w:rPr>
                <w:rFonts w:hint="eastAsia" w:asciiTheme="minorEastAsia" w:hAnsiTheme="minorEastAsia" w:eastAsiaTheme="minorEastAsia" w:cstheme="minorBidi"/>
                <w:color w:val="auto"/>
                <w:sz w:val="24"/>
                <w:lang w:val="en-US" w:eastAsia="zh-CN"/>
              </w:rPr>
              <w:t>支持备份管过滤功能，可根据病历号整理患者的全部样本管，可通过一次查询筛选出多个样本类型，并可预留一管或多管作为备份管。</w:t>
            </w:r>
          </w:p>
          <w:p>
            <w:pPr>
              <w:pStyle w:val="10"/>
              <w:keepNext w:val="0"/>
              <w:keepLines w:val="0"/>
              <w:numPr>
                <w:ilvl w:val="0"/>
                <w:numId w:val="6"/>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支持库存预警设置，可根据不同样本类型设置库存预警数量，可设置样本状态（“禁用”或“开放”），保证样本库存中留取一定数量的样本。</w:t>
            </w:r>
          </w:p>
          <w:p>
            <w:pPr>
              <w:pStyle w:val="10"/>
              <w:keepNext w:val="0"/>
              <w:keepLines w:val="0"/>
              <w:numPr>
                <w:ilvl w:val="0"/>
                <w:numId w:val="6"/>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支持按照项目优先级出库，如子管与母管项目不同时，采集样本项目优先级高于非采集项目。</w:t>
            </w:r>
          </w:p>
          <w:p>
            <w:pPr>
              <w:pStyle w:val="10"/>
              <w:keepNext w:val="0"/>
              <w:keepLines w:val="0"/>
              <w:numPr>
                <w:ilvl w:val="0"/>
                <w:numId w:val="6"/>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支持从OA系统中获取出库审批信息，记录样本出库项目信息和审批信息。</w:t>
            </w:r>
          </w:p>
          <w:p>
            <w:pPr>
              <w:pStyle w:val="10"/>
              <w:keepNext w:val="0"/>
              <w:keepLines w:val="0"/>
              <w:numPr>
                <w:ilvl w:val="0"/>
                <w:numId w:val="6"/>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支持对出库审批通过的样本进行锁定及解锁功能。</w:t>
            </w:r>
          </w:p>
          <w:p>
            <w:pPr>
              <w:pStyle w:val="10"/>
              <w:keepNext w:val="0"/>
              <w:keepLines w:val="0"/>
              <w:numPr>
                <w:ilvl w:val="0"/>
                <w:numId w:val="6"/>
              </w:numPr>
              <w:suppressLineNumbers w:val="0"/>
              <w:spacing w:before="0" w:beforeAutospacing="0" w:after="0" w:afterAutospacing="0"/>
              <w:ind w:right="0" w:firstLineChars="0"/>
              <w:jc w:val="left"/>
              <w:rPr>
                <w:rFonts w:hint="eastAsia" w:asciiTheme="minorEastAsia" w:hAnsiTheme="minorEastAsia" w:eastAsiaTheme="minorEastAsia" w:cstheme="minorBidi"/>
                <w:color w:val="auto"/>
                <w:sz w:val="24"/>
                <w:lang w:val="en-US" w:eastAsia="zh-CN"/>
              </w:rPr>
            </w:pPr>
            <w:r>
              <w:rPr>
                <w:rFonts w:hint="eastAsia" w:asciiTheme="minorEastAsia" w:hAnsiTheme="minorEastAsia" w:eastAsiaTheme="minorEastAsia" w:cstheme="minorBidi"/>
                <w:color w:val="auto"/>
                <w:sz w:val="24"/>
                <w:lang w:val="en-US" w:eastAsia="zh-CN"/>
              </w:rPr>
              <w:t>支持出库“领取清单”打印，领取单内容可自由定义，便于样本的取放。</w:t>
            </w:r>
          </w:p>
          <w:p>
            <w:pPr>
              <w:pStyle w:val="10"/>
              <w:keepNext w:val="0"/>
              <w:keepLines w:val="0"/>
              <w:numPr>
                <w:ilvl w:val="0"/>
                <w:numId w:val="6"/>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支持样本销毁弃用管理，可对不符合要求的样本进行批量销毁弃用。</w:t>
            </w:r>
          </w:p>
          <w:p>
            <w:pPr>
              <w:pStyle w:val="10"/>
              <w:keepNext w:val="0"/>
              <w:keepLines w:val="0"/>
              <w:numPr>
                <w:ilvl w:val="0"/>
                <w:numId w:val="6"/>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支持样本出库核对功能，可通过扫码对出库样本进行二次确认。</w:t>
            </w:r>
          </w:p>
          <w:p>
            <w:pPr>
              <w:pStyle w:val="10"/>
              <w:keepNext w:val="0"/>
              <w:keepLines w:val="0"/>
              <w:numPr>
                <w:ilvl w:val="0"/>
                <w:numId w:val="6"/>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支持样本出库后实验数据记录及衍生样本再入库功能。</w:t>
            </w:r>
          </w:p>
          <w:p>
            <w:pPr>
              <w:pStyle w:val="10"/>
              <w:keepNext w:val="0"/>
              <w:keepLines w:val="0"/>
              <w:numPr>
                <w:ilvl w:val="0"/>
                <w:numId w:val="6"/>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color w:val="auto"/>
                <w:sz w:val="24"/>
                <w:lang w:val="en-US" w:eastAsia="zh-CN"/>
              </w:rPr>
              <w:t>支持项目出库样本管理，可追加出库样本，可查询已出库样本信息。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pStyle w:val="10"/>
              <w:keepNext w:val="0"/>
              <w:keepLines w:val="0"/>
              <w:numPr>
                <w:ilvl w:val="0"/>
                <w:numId w:val="1"/>
              </w:numPr>
              <w:suppressLineNumbers w:val="0"/>
              <w:spacing w:before="0" w:beforeAutospacing="0" w:after="0" w:afterAutospacing="0"/>
              <w:ind w:left="0" w:right="0" w:hanging="125" w:firstLineChars="0"/>
              <w:jc w:val="center"/>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还库管理</w:t>
            </w:r>
          </w:p>
        </w:tc>
        <w:tc>
          <w:tcPr>
            <w:tcW w:w="7436" w:type="dxa"/>
          </w:tcPr>
          <w:p>
            <w:pPr>
              <w:pStyle w:val="10"/>
              <w:keepNext w:val="0"/>
              <w:keepLines w:val="0"/>
              <w:numPr>
                <w:ilvl w:val="0"/>
                <w:numId w:val="7"/>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支持还库样本查询功能，可查询以往还库信息，可查询未归还的样本记录，所归还样本剩余数量。</w:t>
            </w:r>
          </w:p>
          <w:p>
            <w:pPr>
              <w:pStyle w:val="10"/>
              <w:keepNext w:val="0"/>
              <w:keepLines w:val="0"/>
              <w:numPr>
                <w:ilvl w:val="0"/>
                <w:numId w:val="7"/>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支持对还库样本自动记录冻融次数。</w:t>
            </w:r>
          </w:p>
          <w:p>
            <w:pPr>
              <w:pStyle w:val="10"/>
              <w:keepNext w:val="0"/>
              <w:keepLines w:val="0"/>
              <w:numPr>
                <w:ilvl w:val="0"/>
                <w:numId w:val="7"/>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color w:val="auto"/>
                <w:sz w:val="24"/>
                <w:lang w:val="en-US" w:eastAsia="zh-CN"/>
              </w:rPr>
              <w:t>支持还库样本再入库，支持还库样本信息的重新定义。</w:t>
            </w:r>
          </w:p>
          <w:p>
            <w:pPr>
              <w:pStyle w:val="10"/>
              <w:keepNext w:val="0"/>
              <w:keepLines w:val="0"/>
              <w:numPr>
                <w:ilvl w:val="0"/>
                <w:numId w:val="7"/>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color w:val="auto"/>
                <w:sz w:val="24"/>
                <w:lang w:val="en-US" w:eastAsia="zh-CN"/>
              </w:rPr>
              <w:t>支持通过扫码条形码或二维码定位样本存放位置。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pStyle w:val="10"/>
              <w:keepNext w:val="0"/>
              <w:keepLines w:val="0"/>
              <w:numPr>
                <w:ilvl w:val="0"/>
                <w:numId w:val="1"/>
              </w:numPr>
              <w:suppressLineNumbers w:val="0"/>
              <w:spacing w:before="0" w:beforeAutospacing="0" w:after="0" w:afterAutospacing="0"/>
              <w:ind w:left="0" w:right="0" w:hanging="125" w:firstLineChars="0"/>
              <w:jc w:val="center"/>
              <w:rPr>
                <w:rFonts w:hint="eastAsia" w:asciiTheme="minorEastAsia" w:hAnsiTheme="minorEastAsia" w:eastAsiaTheme="minorEastAsia" w:cstheme="minorBidi"/>
                <w:color w:val="BDD7EE" w:themeColor="accent1" w:themeTint="66"/>
                <w:sz w:val="24"/>
                <w:lang w:val="en-US" w:eastAsia="zh-CN"/>
                <w14:textFill>
                  <w14:solidFill>
                    <w14:schemeClr w14:val="accent1">
                      <w14:lumMod w14:val="40000"/>
                      <w14:lumOff w14:val="60000"/>
                    </w14:schemeClr>
                  </w14:solidFill>
                </w14:textFill>
              </w:rPr>
            </w:pPr>
            <w:r>
              <w:rPr>
                <w:rFonts w:hint="eastAsia" w:asciiTheme="minorEastAsia" w:hAnsiTheme="minorEastAsia" w:eastAsiaTheme="minorEastAsia" w:cstheme="minorBidi"/>
                <w:color w:val="auto"/>
                <w:sz w:val="24"/>
                <w:lang w:val="en-US" w:eastAsia="zh-CN"/>
              </w:rPr>
              <w:t>查询统计管理</w:t>
            </w:r>
          </w:p>
        </w:tc>
        <w:tc>
          <w:tcPr>
            <w:tcW w:w="7436" w:type="dxa"/>
          </w:tcPr>
          <w:p>
            <w:pPr>
              <w:pStyle w:val="10"/>
              <w:keepNext w:val="0"/>
              <w:keepLines w:val="0"/>
              <w:numPr>
                <w:ilvl w:val="0"/>
                <w:numId w:val="8"/>
              </w:numPr>
              <w:suppressLineNumbers w:val="0"/>
              <w:spacing w:before="0" w:beforeAutospacing="0" w:after="0" w:afterAutospacing="0"/>
              <w:ind w:right="0" w:firstLineChars="0"/>
              <w:jc w:val="left"/>
              <w:rPr>
                <w:rFonts w:hint="eastAsia" w:asciiTheme="minorEastAsia" w:hAnsiTheme="minorEastAsia" w:eastAsiaTheme="minorEastAsia" w:cstheme="minorBidi"/>
                <w:color w:val="BDD7EE" w:themeColor="accent1" w:themeTint="66"/>
                <w:sz w:val="24"/>
                <w:lang w:val="en-US" w:eastAsia="zh-CN"/>
                <w14:textFill>
                  <w14:solidFill>
                    <w14:schemeClr w14:val="accent1">
                      <w14:lumMod w14:val="40000"/>
                      <w14:lumOff w14:val="60000"/>
                    </w14:schemeClr>
                  </w14:solidFill>
                </w14:textFill>
              </w:rPr>
            </w:pPr>
            <w:r>
              <w:rPr>
                <w:rFonts w:hint="eastAsia" w:asciiTheme="minorEastAsia" w:hAnsiTheme="minorEastAsia" w:eastAsiaTheme="minorEastAsia" w:cstheme="minorBidi"/>
                <w:color w:val="auto"/>
                <w:sz w:val="24"/>
                <w:lang w:val="en-US" w:eastAsia="zh-CN"/>
              </w:rPr>
              <w:t>支持</w:t>
            </w: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根据样本来源、样本类型或自定义字段的多维度组合来进行样本筛选，查询统计符合条件的样本管数和例数。</w:t>
            </w:r>
          </w:p>
          <w:p>
            <w:pPr>
              <w:pStyle w:val="10"/>
              <w:keepNext w:val="0"/>
              <w:keepLines w:val="0"/>
              <w:numPr>
                <w:ilvl w:val="0"/>
                <w:numId w:val="8"/>
              </w:numPr>
              <w:suppressLineNumbers w:val="0"/>
              <w:spacing w:before="0" w:beforeAutospacing="0" w:after="0" w:afterAutospacing="0"/>
              <w:ind w:right="0" w:firstLineChars="0"/>
              <w:jc w:val="left"/>
              <w:rPr>
                <w:rFonts w:hint="eastAsia" w:asciiTheme="minorEastAsia" w:hAnsiTheme="minorEastAsia" w:eastAsiaTheme="minorEastAsia" w:cstheme="minorBidi"/>
                <w:color w:val="BDD7EE" w:themeColor="accent1" w:themeTint="66"/>
                <w:sz w:val="24"/>
                <w:lang w:val="en-US" w:eastAsia="zh-CN"/>
                <w14:textFill>
                  <w14:solidFill>
                    <w14:schemeClr w14:val="accent1">
                      <w14:lumMod w14:val="40000"/>
                      <w14:lumOff w14:val="60000"/>
                    </w14:schemeClr>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支持不同类库（血液库、组织库、体液库等）的交叉查询，统计同一捐献者的所有类型及所有批次样本信息。</w:t>
            </w:r>
          </w:p>
          <w:p>
            <w:pPr>
              <w:pStyle w:val="10"/>
              <w:keepNext w:val="0"/>
              <w:keepLines w:val="0"/>
              <w:numPr>
                <w:ilvl w:val="0"/>
                <w:numId w:val="8"/>
              </w:numPr>
              <w:suppressLineNumbers w:val="0"/>
              <w:spacing w:before="0" w:beforeAutospacing="0" w:after="0" w:afterAutospacing="0"/>
              <w:ind w:right="0" w:firstLineChars="0"/>
              <w:jc w:val="left"/>
              <w:rPr>
                <w:rFonts w:hint="eastAsia" w:asciiTheme="minorEastAsia" w:hAnsiTheme="minorEastAsia" w:eastAsiaTheme="minorEastAsia" w:cstheme="minorBidi"/>
                <w:color w:val="BDD7EE" w:themeColor="accent1" w:themeTint="66"/>
                <w:sz w:val="24"/>
                <w:lang w:val="en-US" w:eastAsia="zh-CN"/>
                <w14:textFill>
                  <w14:solidFill>
                    <w14:schemeClr w14:val="accent1">
                      <w14:lumMod w14:val="40000"/>
                      <w14:lumOff w14:val="60000"/>
                    </w14:schemeClr>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支持交叉库查询，针对“组织库”、“血库”等不同库类型，可查找交叉库中均有冻存管存储的更有价值的标本信息。</w:t>
            </w:r>
          </w:p>
          <w:p>
            <w:pPr>
              <w:pStyle w:val="10"/>
              <w:keepNext w:val="0"/>
              <w:keepLines w:val="0"/>
              <w:numPr>
                <w:ilvl w:val="0"/>
                <w:numId w:val="8"/>
              </w:numPr>
              <w:suppressLineNumbers w:val="0"/>
              <w:spacing w:before="0" w:beforeAutospacing="0" w:after="0" w:afterAutospacing="0"/>
              <w:ind w:right="0" w:firstLineChars="0"/>
              <w:jc w:val="left"/>
              <w:rPr>
                <w:rFonts w:hint="eastAsia" w:asciiTheme="minorEastAsia" w:hAnsiTheme="minorEastAsia" w:eastAsiaTheme="minorEastAsia" w:cstheme="minorBidi"/>
                <w:color w:val="BDD7EE" w:themeColor="accent1" w:themeTint="66"/>
                <w:sz w:val="24"/>
                <w:lang w:val="en-US" w:eastAsia="zh-CN"/>
                <w14:textFill>
                  <w14:solidFill>
                    <w14:schemeClr w14:val="accent1">
                      <w14:lumMod w14:val="40000"/>
                      <w14:lumOff w14:val="60000"/>
                    </w14:schemeClr>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支持按样本类型统计某时间段每个取样员取样的管数和例数。</w:t>
            </w:r>
          </w:p>
          <w:p>
            <w:pPr>
              <w:pStyle w:val="10"/>
              <w:keepNext w:val="0"/>
              <w:keepLines w:val="0"/>
              <w:numPr>
                <w:ilvl w:val="0"/>
                <w:numId w:val="8"/>
              </w:numPr>
              <w:suppressLineNumbers w:val="0"/>
              <w:spacing w:before="0" w:beforeAutospacing="0" w:after="0" w:afterAutospacing="0"/>
              <w:ind w:right="0" w:firstLineChars="0"/>
              <w:jc w:val="left"/>
              <w:rPr>
                <w:rFonts w:hint="eastAsia" w:asciiTheme="minorEastAsia" w:hAnsiTheme="minorEastAsia" w:eastAsiaTheme="minorEastAsia" w:cstheme="minorBidi"/>
                <w:color w:val="BDD7EE" w:themeColor="accent1" w:themeTint="66"/>
                <w:sz w:val="24"/>
                <w:lang w:val="en-US" w:eastAsia="zh-CN"/>
                <w14:textFill>
                  <w14:solidFill>
                    <w14:schemeClr w14:val="accent1">
                      <w14:lumMod w14:val="40000"/>
                      <w14:lumOff w14:val="60000"/>
                    </w14:schemeClr>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支持统计样本配对和不配对清单，并可提供详细列表等数据。</w:t>
            </w:r>
          </w:p>
          <w:p>
            <w:pPr>
              <w:pStyle w:val="10"/>
              <w:keepNext w:val="0"/>
              <w:keepLines w:val="0"/>
              <w:numPr>
                <w:ilvl w:val="0"/>
                <w:numId w:val="8"/>
              </w:numPr>
              <w:suppressLineNumbers w:val="0"/>
              <w:spacing w:before="0" w:beforeAutospacing="0" w:after="0" w:afterAutospacing="0"/>
              <w:ind w:right="0" w:firstLineChars="0"/>
              <w:jc w:val="left"/>
              <w:rPr>
                <w:rFonts w:hint="eastAsia" w:asciiTheme="minorEastAsia" w:hAnsiTheme="minorEastAsia" w:eastAsiaTheme="minorEastAsia" w:cstheme="minorBidi"/>
                <w:color w:val="BDD7EE" w:themeColor="accent1" w:themeTint="66"/>
                <w:sz w:val="24"/>
                <w:lang w:val="en-US" w:eastAsia="zh-CN"/>
                <w14:textFill>
                  <w14:solidFill>
                    <w14:schemeClr w14:val="accent1">
                      <w14:lumMod w14:val="40000"/>
                      <w14:lumOff w14:val="60000"/>
                    </w14:schemeClr>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支持提供图表的形式查看生物样本库库存总体情况。</w:t>
            </w:r>
          </w:p>
          <w:p>
            <w:pPr>
              <w:pStyle w:val="10"/>
              <w:keepNext w:val="0"/>
              <w:keepLines w:val="0"/>
              <w:numPr>
                <w:ilvl w:val="0"/>
                <w:numId w:val="8"/>
              </w:numPr>
              <w:suppressLineNumbers w:val="0"/>
              <w:spacing w:before="0" w:beforeAutospacing="0" w:after="0" w:afterAutospacing="0"/>
              <w:ind w:right="0" w:firstLineChars="0"/>
              <w:jc w:val="left"/>
              <w:rPr>
                <w:rFonts w:hint="eastAsia" w:asciiTheme="minorEastAsia" w:hAnsiTheme="minorEastAsia" w:eastAsiaTheme="minorEastAsia" w:cstheme="minorBidi"/>
                <w:color w:val="auto"/>
                <w:sz w:val="24"/>
                <w:lang w:val="en-US" w:eastAsia="zh-CN"/>
              </w:rPr>
            </w:pPr>
            <w:r>
              <w:rPr>
                <w:rFonts w:hint="eastAsia" w:asciiTheme="minorEastAsia" w:hAnsiTheme="minorEastAsia" w:eastAsiaTheme="minorEastAsia" w:cstheme="minorBidi"/>
                <w:color w:val="auto"/>
                <w:sz w:val="24"/>
                <w:lang w:val="en-US" w:eastAsia="zh-CN"/>
              </w:rPr>
              <w:t>支持可按照日期、库类型、样本类型、样本来源、项目等方式以图表形式显示生物样本库库存总体情况。</w:t>
            </w:r>
          </w:p>
          <w:p>
            <w:pPr>
              <w:pStyle w:val="10"/>
              <w:keepNext w:val="0"/>
              <w:keepLines w:val="0"/>
              <w:numPr>
                <w:ilvl w:val="0"/>
                <w:numId w:val="8"/>
              </w:numPr>
              <w:suppressLineNumbers w:val="0"/>
              <w:spacing w:before="0" w:beforeAutospacing="0" w:after="0" w:afterAutospacing="0"/>
              <w:ind w:right="0" w:firstLineChars="0"/>
              <w:jc w:val="left"/>
              <w:rPr>
                <w:rFonts w:hint="eastAsia" w:asciiTheme="minorEastAsia" w:hAnsiTheme="minorEastAsia" w:eastAsiaTheme="minorEastAsia" w:cstheme="minorBidi"/>
                <w:color w:val="auto"/>
                <w:sz w:val="24"/>
                <w:lang w:val="en-US" w:eastAsia="zh-CN"/>
              </w:rPr>
            </w:pPr>
            <w:r>
              <w:rPr>
                <w:rFonts w:hint="eastAsia" w:asciiTheme="minorEastAsia" w:hAnsiTheme="minorEastAsia" w:eastAsiaTheme="minorEastAsia" w:cstheme="minorBidi"/>
                <w:color w:val="auto"/>
                <w:sz w:val="24"/>
                <w:lang w:val="en-US" w:eastAsia="zh-CN"/>
              </w:rPr>
              <w:t>支持根据检验值组合条件进行样本查询。</w:t>
            </w:r>
          </w:p>
          <w:p>
            <w:pPr>
              <w:pStyle w:val="10"/>
              <w:keepNext w:val="0"/>
              <w:keepLines w:val="0"/>
              <w:numPr>
                <w:ilvl w:val="0"/>
                <w:numId w:val="8"/>
              </w:numPr>
              <w:suppressLineNumbers w:val="0"/>
              <w:spacing w:before="0" w:beforeAutospacing="0" w:after="0" w:afterAutospacing="0"/>
              <w:ind w:right="0" w:firstLineChars="0"/>
              <w:jc w:val="left"/>
              <w:rPr>
                <w:rFonts w:hint="eastAsia" w:asciiTheme="minorEastAsia" w:hAnsiTheme="minorEastAsia" w:eastAsiaTheme="minorEastAsia" w:cstheme="minorBidi"/>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支持按指定时间段、每月或每年进行总样本的入库、出库统计。</w:t>
            </w:r>
          </w:p>
          <w:p>
            <w:pPr>
              <w:pStyle w:val="10"/>
              <w:keepNext w:val="0"/>
              <w:keepLines w:val="0"/>
              <w:numPr>
                <w:ilvl w:val="0"/>
                <w:numId w:val="8"/>
              </w:numPr>
              <w:suppressLineNumbers w:val="0"/>
              <w:spacing w:before="0" w:beforeAutospacing="0" w:after="0" w:afterAutospacing="0"/>
              <w:ind w:right="0" w:firstLineChars="0"/>
              <w:jc w:val="left"/>
              <w:rPr>
                <w:rFonts w:hint="eastAsia" w:asciiTheme="minorEastAsia" w:hAnsiTheme="minorEastAsia" w:eastAsiaTheme="minorEastAsia" w:cstheme="minorBidi"/>
                <w:color w:val="BDD7EE" w:themeColor="accent1" w:themeTint="66"/>
                <w:sz w:val="24"/>
                <w:lang w:val="en-US" w:eastAsia="zh-CN"/>
                <w14:textFill>
                  <w14:solidFill>
                    <w14:schemeClr w14:val="accent1">
                      <w14:lumMod w14:val="40000"/>
                      <w14:lumOff w14:val="60000"/>
                    </w14:schemeClr>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支持样本出库比例统计，可根据病种、样本类型等因素对每一类样本的出库率进行统计，同时管理员可设定提示预警，进行库存预警提示。</w:t>
            </w:r>
          </w:p>
          <w:p>
            <w:pPr>
              <w:pStyle w:val="10"/>
              <w:keepNext w:val="0"/>
              <w:keepLines w:val="0"/>
              <w:numPr>
                <w:ilvl w:val="0"/>
                <w:numId w:val="8"/>
              </w:numPr>
              <w:suppressLineNumbers w:val="0"/>
              <w:spacing w:before="0" w:beforeAutospacing="0" w:after="0" w:afterAutospacing="0"/>
              <w:ind w:right="0" w:firstLineChars="0"/>
              <w:jc w:val="left"/>
              <w:rPr>
                <w:rFonts w:hint="eastAsia" w:asciiTheme="minorEastAsia" w:hAnsiTheme="minorEastAsia" w:eastAsiaTheme="minorEastAsia" w:cstheme="minorBidi"/>
                <w:color w:val="BDD7EE" w:themeColor="accent1" w:themeTint="66"/>
                <w:sz w:val="24"/>
                <w:lang w:val="en-US" w:eastAsia="zh-CN"/>
                <w14:textFill>
                  <w14:solidFill>
                    <w14:schemeClr w14:val="accent1">
                      <w14:lumMod w14:val="40000"/>
                      <w14:lumOff w14:val="60000"/>
                    </w14:schemeClr>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支持提供用于临床科室权限范围内的样本信息的综合查询统计，并以图表的方式展示统计数据。</w:t>
            </w:r>
          </w:p>
          <w:p>
            <w:pPr>
              <w:pStyle w:val="10"/>
              <w:keepNext w:val="0"/>
              <w:keepLines w:val="0"/>
              <w:numPr>
                <w:ilvl w:val="0"/>
                <w:numId w:val="8"/>
              </w:numPr>
              <w:suppressLineNumbers w:val="0"/>
              <w:spacing w:before="0" w:beforeAutospacing="0" w:after="0" w:afterAutospacing="0"/>
              <w:ind w:right="0" w:firstLineChars="0"/>
              <w:jc w:val="left"/>
              <w:rPr>
                <w:rFonts w:hint="eastAsia" w:asciiTheme="minorEastAsia" w:hAnsiTheme="minorEastAsia" w:eastAsiaTheme="minorEastAsia" w:cstheme="minorBidi"/>
                <w:color w:val="BDD7EE" w:themeColor="accent1" w:themeTint="66"/>
                <w:sz w:val="24"/>
                <w:lang w:val="en-US" w:eastAsia="zh-CN"/>
                <w14:textFill>
                  <w14:solidFill>
                    <w14:schemeClr w14:val="accent1">
                      <w14:lumMod w14:val="40000"/>
                      <w14:lumOff w14:val="60000"/>
                    </w14:schemeClr>
                  </w14:solidFill>
                </w14:textFill>
              </w:rPr>
            </w:pPr>
            <w:r>
              <w:rPr>
                <w:rFonts w:hint="eastAsia" w:asciiTheme="minorEastAsia" w:hAnsiTheme="minorEastAsia" w:eastAsiaTheme="minorEastAsia" w:cstheme="minorBidi"/>
                <w:color w:val="auto"/>
                <w:sz w:val="24"/>
                <w:lang w:val="en-US" w:eastAsia="zh-CN"/>
              </w:rPr>
              <w:t>支持某时间段空间容量与标本增量的统计。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pStyle w:val="10"/>
              <w:keepNext w:val="0"/>
              <w:keepLines w:val="0"/>
              <w:numPr>
                <w:ilvl w:val="0"/>
                <w:numId w:val="1"/>
              </w:numPr>
              <w:suppressLineNumbers w:val="0"/>
              <w:spacing w:before="0" w:beforeAutospacing="0" w:after="0" w:afterAutospacing="0"/>
              <w:ind w:left="0" w:right="0" w:hanging="125" w:firstLineChars="0"/>
              <w:jc w:val="center"/>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color w:val="auto"/>
                <w:sz w:val="24"/>
                <w:lang w:val="en-US" w:eastAsia="zh-CN"/>
              </w:rPr>
              <w:t>质控管理</w:t>
            </w:r>
          </w:p>
        </w:tc>
        <w:tc>
          <w:tcPr>
            <w:tcW w:w="7436" w:type="dxa"/>
          </w:tcPr>
          <w:p>
            <w:pPr>
              <w:pStyle w:val="10"/>
              <w:keepNext w:val="0"/>
              <w:keepLines w:val="0"/>
              <w:numPr>
                <w:ilvl w:val="0"/>
                <w:numId w:val="9"/>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支持抽样质控管理，可按样本类型、抽样比例、抽样套数等自定义抽样模式，自动生成质控清单，并标记为质控样本，质控结果可自动溯源匹配来源。</w:t>
            </w:r>
          </w:p>
          <w:p>
            <w:pPr>
              <w:pStyle w:val="10"/>
              <w:keepNext w:val="0"/>
              <w:keepLines w:val="0"/>
              <w:numPr>
                <w:ilvl w:val="0"/>
                <w:numId w:val="9"/>
              </w:numPr>
              <w:suppressLineNumbers w:val="0"/>
              <w:spacing w:before="0" w:beforeAutospacing="0" w:after="0" w:afterAutospacing="0"/>
              <w:ind w:right="0" w:firstLineChars="0"/>
              <w:jc w:val="left"/>
              <w:rPr>
                <w:rFonts w:hint="eastAsia" w:asciiTheme="minorEastAsia" w:hAnsiTheme="minorEastAsia" w:eastAsiaTheme="minorEastAsia" w:cstheme="minorBidi"/>
                <w:color w:val="auto"/>
                <w:sz w:val="24"/>
                <w:lang w:val="en-US" w:eastAsia="zh-CN"/>
              </w:rPr>
            </w:pPr>
            <w:r>
              <w:rPr>
                <w:rFonts w:hint="eastAsia" w:asciiTheme="minorEastAsia" w:hAnsiTheme="minorEastAsia" w:eastAsiaTheme="minorEastAsia" w:cstheme="minorBidi"/>
                <w:color w:val="auto"/>
                <w:sz w:val="24"/>
                <w:lang w:val="en-US" w:eastAsia="zh-CN"/>
              </w:rPr>
              <w:t>支持定期按比例随机选取指定量样本进行质控，自动生成质控清单，并锁定标记质控样本，使用特殊颜色显示。</w:t>
            </w:r>
          </w:p>
          <w:p>
            <w:pPr>
              <w:pStyle w:val="10"/>
              <w:keepNext w:val="0"/>
              <w:keepLines w:val="0"/>
              <w:numPr>
                <w:ilvl w:val="0"/>
                <w:numId w:val="9"/>
              </w:numPr>
              <w:suppressLineNumbers w:val="0"/>
              <w:spacing w:before="0" w:beforeAutospacing="0" w:after="0" w:afterAutospacing="0"/>
              <w:ind w:right="0" w:firstLineChars="0"/>
              <w:jc w:val="left"/>
              <w:rPr>
                <w:rFonts w:hint="eastAsia" w:asciiTheme="minorEastAsia" w:hAnsiTheme="minorEastAsia" w:eastAsiaTheme="minorEastAsia" w:cstheme="minorBidi"/>
                <w:color w:val="auto"/>
                <w:sz w:val="24"/>
                <w:lang w:val="en-US" w:eastAsia="zh-CN"/>
              </w:rPr>
            </w:pPr>
            <w:r>
              <w:rPr>
                <w:rFonts w:hint="eastAsia" w:asciiTheme="minorEastAsia" w:hAnsiTheme="minorEastAsia" w:eastAsiaTheme="minorEastAsia" w:cstheme="minorBidi"/>
                <w:color w:val="auto"/>
                <w:sz w:val="24"/>
                <w:lang w:val="en-US" w:eastAsia="zh-CN"/>
              </w:rPr>
              <w:t>支持对质控不合格的样本，在排除试剂因素后，可对其再次进行抽样质控，并根据二次质控结果清除相应样本。</w:t>
            </w:r>
          </w:p>
          <w:p>
            <w:pPr>
              <w:pStyle w:val="10"/>
              <w:keepNext w:val="0"/>
              <w:keepLines w:val="0"/>
              <w:numPr>
                <w:ilvl w:val="0"/>
                <w:numId w:val="9"/>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支持不合格标本管理功能，对不符合SOP规则的标本进行登记处理，并可对不合格标本进行统计查询。</w:t>
            </w:r>
          </w:p>
          <w:p>
            <w:pPr>
              <w:pStyle w:val="10"/>
              <w:keepNext w:val="0"/>
              <w:keepLines w:val="0"/>
              <w:numPr>
                <w:ilvl w:val="0"/>
                <w:numId w:val="9"/>
              </w:numPr>
              <w:suppressLineNumbers w:val="0"/>
              <w:spacing w:before="0" w:beforeAutospacing="0" w:after="0" w:afterAutospacing="0"/>
              <w:ind w:right="0" w:firstLineChars="0"/>
              <w:jc w:val="left"/>
              <w:rPr>
                <w:rFonts w:hint="eastAsia" w:asciiTheme="minorEastAsia" w:hAnsiTheme="minorEastAsia" w:eastAsiaTheme="minorEastAsia" w:cstheme="minorBidi"/>
                <w:color w:val="auto"/>
                <w:sz w:val="24"/>
                <w:lang w:val="en-US" w:eastAsia="zh-CN"/>
              </w:rPr>
            </w:pPr>
            <w:r>
              <w:rPr>
                <w:rFonts w:hint="eastAsia" w:asciiTheme="minorEastAsia" w:hAnsiTheme="minorEastAsia" w:eastAsiaTheme="minorEastAsia" w:cstheme="minorBidi"/>
                <w:color w:val="auto"/>
                <w:sz w:val="24"/>
                <w:lang w:val="en-US" w:eastAsia="zh-CN"/>
              </w:rPr>
              <w:t>支持样本收集、处理、存储过程中分析前变量的记录，自动生成国际通用SPREC代码，便于后期样本合作流通及流程持续改进。</w:t>
            </w:r>
          </w:p>
          <w:p>
            <w:pPr>
              <w:pStyle w:val="10"/>
              <w:keepNext w:val="0"/>
              <w:keepLines w:val="0"/>
              <w:numPr>
                <w:ilvl w:val="0"/>
                <w:numId w:val="9"/>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支持质量手册文档管理，可进行质量体系、标准操作规范管理（登记、查询）。</w:t>
            </w:r>
          </w:p>
          <w:p>
            <w:pPr>
              <w:pStyle w:val="10"/>
              <w:keepNext w:val="0"/>
              <w:keepLines w:val="0"/>
              <w:numPr>
                <w:ilvl w:val="0"/>
                <w:numId w:val="9"/>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支持组织形态学质控管理，可记录组织对应切片的形态学指标，包括但不限于细胞总比、坏死比、肿瘤细胞核比、淋巴细胞浸润比。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pStyle w:val="10"/>
              <w:keepNext w:val="0"/>
              <w:keepLines w:val="0"/>
              <w:numPr>
                <w:ilvl w:val="0"/>
                <w:numId w:val="1"/>
              </w:numPr>
              <w:suppressLineNumbers w:val="0"/>
              <w:spacing w:before="0" w:beforeAutospacing="0" w:after="0" w:afterAutospacing="0"/>
              <w:ind w:left="0" w:right="0" w:hanging="125" w:firstLineChars="0"/>
              <w:jc w:val="center"/>
              <w:rPr>
                <w:rFonts w:hint="eastAsia" w:asciiTheme="minorEastAsia" w:hAnsiTheme="minorEastAsia" w:eastAsiaTheme="minorEastAsia" w:cstheme="minorBidi"/>
                <w:color w:val="auto"/>
                <w:sz w:val="24"/>
                <w:lang w:val="en-US" w:eastAsia="zh-CN"/>
              </w:rPr>
            </w:pPr>
            <w:r>
              <w:rPr>
                <w:rFonts w:hint="eastAsia" w:asciiTheme="minorEastAsia" w:hAnsiTheme="minorEastAsia" w:eastAsiaTheme="minorEastAsia" w:cstheme="minorBidi"/>
                <w:color w:val="auto"/>
                <w:sz w:val="24"/>
                <w:lang w:val="en-US" w:eastAsia="zh-CN"/>
              </w:rPr>
              <w:t>用户管理</w:t>
            </w:r>
          </w:p>
        </w:tc>
        <w:tc>
          <w:tcPr>
            <w:tcW w:w="7436" w:type="dxa"/>
          </w:tcPr>
          <w:p>
            <w:pPr>
              <w:pStyle w:val="10"/>
              <w:keepNext w:val="0"/>
              <w:keepLines w:val="0"/>
              <w:numPr>
                <w:ilvl w:val="0"/>
                <w:numId w:val="10"/>
              </w:numPr>
              <w:suppressLineNumbers w:val="0"/>
              <w:spacing w:before="0" w:beforeAutospacing="0" w:after="0" w:afterAutospacing="0"/>
              <w:ind w:right="0" w:firstLineChars="0"/>
              <w:jc w:val="left"/>
              <w:rPr>
                <w:rFonts w:hint="eastAsia" w:asciiTheme="minorEastAsia" w:hAnsiTheme="minorEastAsia" w:eastAsiaTheme="minorEastAsia" w:cstheme="minorBidi"/>
                <w:color w:val="auto"/>
                <w:sz w:val="24"/>
                <w:lang w:val="en-US" w:eastAsia="zh-CN"/>
              </w:rPr>
            </w:pPr>
            <w:r>
              <w:rPr>
                <w:rFonts w:hint="eastAsia" w:asciiTheme="minorEastAsia" w:hAnsiTheme="minorEastAsia" w:eastAsiaTheme="minorEastAsia" w:cstheme="minorBidi"/>
                <w:color w:val="auto"/>
                <w:sz w:val="24"/>
                <w:lang w:val="en-US" w:eastAsia="zh-CN"/>
              </w:rPr>
              <w:t>支持用户操作日志记录，包括但不限于用户登录、IP地址、对数据的增减操作。</w:t>
            </w:r>
          </w:p>
          <w:p>
            <w:pPr>
              <w:pStyle w:val="10"/>
              <w:keepNext w:val="0"/>
              <w:keepLines w:val="0"/>
              <w:numPr>
                <w:ilvl w:val="0"/>
                <w:numId w:val="10"/>
              </w:numPr>
              <w:suppressLineNumbers w:val="0"/>
              <w:spacing w:before="0" w:beforeAutospacing="0" w:after="0" w:afterAutospacing="0"/>
              <w:ind w:right="0" w:firstLineChars="0"/>
              <w:jc w:val="left"/>
              <w:rPr>
                <w:rFonts w:hint="eastAsia" w:asciiTheme="minorEastAsia" w:hAnsiTheme="minorEastAsia" w:eastAsiaTheme="minorEastAsia" w:cstheme="minorBidi"/>
                <w:color w:val="auto"/>
                <w:sz w:val="24"/>
                <w:lang w:val="en-US" w:eastAsia="zh-CN"/>
              </w:rPr>
            </w:pPr>
            <w:r>
              <w:rPr>
                <w:rFonts w:hint="eastAsia" w:asciiTheme="minorEastAsia" w:hAnsiTheme="minorEastAsia" w:eastAsiaTheme="minorEastAsia" w:cstheme="minorBidi"/>
                <w:color w:val="auto"/>
                <w:sz w:val="24"/>
                <w:lang w:val="en-US" w:eastAsia="zh-CN"/>
              </w:rPr>
              <w:t>支持可通过多种方式查看日志信息。</w:t>
            </w:r>
          </w:p>
          <w:p>
            <w:pPr>
              <w:pStyle w:val="10"/>
              <w:keepNext w:val="0"/>
              <w:keepLines w:val="0"/>
              <w:numPr>
                <w:ilvl w:val="0"/>
                <w:numId w:val="10"/>
              </w:numPr>
              <w:suppressLineNumbers w:val="0"/>
              <w:spacing w:before="0" w:beforeAutospacing="0" w:after="0" w:afterAutospacing="0"/>
              <w:ind w:right="0" w:firstLineChars="0"/>
              <w:jc w:val="left"/>
              <w:rPr>
                <w:rFonts w:hint="eastAsia" w:asciiTheme="minorEastAsia" w:hAnsiTheme="minorEastAsia" w:eastAsiaTheme="minorEastAsia" w:cstheme="minorBidi"/>
                <w:color w:val="auto"/>
                <w:sz w:val="24"/>
                <w:lang w:val="en-US" w:eastAsia="zh-CN"/>
              </w:rPr>
            </w:pPr>
            <w:r>
              <w:rPr>
                <w:rFonts w:hint="eastAsia" w:asciiTheme="minorEastAsia" w:hAnsiTheme="minorEastAsia" w:eastAsiaTheme="minorEastAsia" w:cstheme="minorBidi"/>
                <w:color w:val="auto"/>
                <w:sz w:val="24"/>
                <w:lang w:val="en-US" w:eastAsia="zh-CN"/>
              </w:rPr>
              <w:t>支持完善的用户角色权限管理，一个用户可有多个角色，不同的角色对应不同的管理和用户使用权限，可进行控制样本录入、冻存管核对、样本复核、冻存管转移、用户管理、系统设置等用户活动。</w:t>
            </w:r>
          </w:p>
          <w:p>
            <w:pPr>
              <w:pStyle w:val="10"/>
              <w:keepNext w:val="0"/>
              <w:keepLines w:val="0"/>
              <w:numPr>
                <w:ilvl w:val="0"/>
                <w:numId w:val="10"/>
              </w:numPr>
              <w:suppressLineNumbers w:val="0"/>
              <w:spacing w:before="0" w:beforeAutospacing="0" w:after="0" w:afterAutospacing="0"/>
              <w:ind w:right="0" w:firstLineChars="0"/>
              <w:jc w:val="left"/>
              <w:rPr>
                <w:rFonts w:hint="eastAsia" w:asciiTheme="minorEastAsia" w:hAnsiTheme="minorEastAsia" w:eastAsiaTheme="minorEastAsia" w:cstheme="minorBidi"/>
                <w:color w:val="auto"/>
                <w:sz w:val="24"/>
                <w:lang w:val="en-US" w:eastAsia="zh-CN"/>
              </w:rPr>
            </w:pPr>
            <w:r>
              <w:rPr>
                <w:rFonts w:hint="eastAsia" w:asciiTheme="minorEastAsia" w:hAnsiTheme="minorEastAsia" w:eastAsiaTheme="minorEastAsia" w:cstheme="minorBidi"/>
                <w:color w:val="auto"/>
                <w:sz w:val="24"/>
                <w:lang w:val="en-US" w:eastAsia="zh-CN"/>
              </w:rPr>
              <w:t>支持自定义用户权限、自定义权限类别。</w:t>
            </w:r>
          </w:p>
          <w:p>
            <w:pPr>
              <w:pStyle w:val="10"/>
              <w:keepNext w:val="0"/>
              <w:keepLines w:val="0"/>
              <w:numPr>
                <w:ilvl w:val="0"/>
                <w:numId w:val="10"/>
              </w:numPr>
              <w:suppressLineNumbers w:val="0"/>
              <w:spacing w:before="0" w:beforeAutospacing="0" w:after="0" w:afterAutospacing="0"/>
              <w:ind w:right="0" w:firstLineChars="0"/>
              <w:jc w:val="left"/>
              <w:rPr>
                <w:rFonts w:hint="eastAsia" w:asciiTheme="minorEastAsia" w:hAnsiTheme="minorEastAsia" w:eastAsiaTheme="minorEastAsia" w:cstheme="minorBidi"/>
                <w:color w:val="auto"/>
                <w:sz w:val="24"/>
                <w:lang w:val="en-US" w:eastAsia="zh-CN"/>
              </w:rPr>
            </w:pPr>
            <w:r>
              <w:rPr>
                <w:rFonts w:hint="eastAsia" w:asciiTheme="minorEastAsia" w:hAnsiTheme="minorEastAsia" w:eastAsiaTheme="minorEastAsia" w:cstheme="minorBidi"/>
                <w:color w:val="auto"/>
                <w:sz w:val="24"/>
                <w:lang w:val="en-US" w:eastAsia="zh-CN"/>
              </w:rPr>
              <w:t>支持用户帐号有效期设置，期限到期之后，该帐号不能登录系统。</w:t>
            </w:r>
          </w:p>
          <w:p>
            <w:pPr>
              <w:pStyle w:val="10"/>
              <w:keepNext w:val="0"/>
              <w:keepLines w:val="0"/>
              <w:numPr>
                <w:ilvl w:val="0"/>
                <w:numId w:val="10"/>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color w:val="auto"/>
                <w:sz w:val="24"/>
                <w:lang w:val="en-US" w:eastAsia="zh-CN"/>
              </w:rPr>
              <w:t>支持自动锁屏功能，解锁后，不影响原始数据状态。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pStyle w:val="10"/>
              <w:keepNext w:val="0"/>
              <w:keepLines w:val="0"/>
              <w:numPr>
                <w:ilvl w:val="0"/>
                <w:numId w:val="1"/>
              </w:numPr>
              <w:suppressLineNumbers w:val="0"/>
              <w:spacing w:before="0" w:beforeAutospacing="0" w:after="0" w:afterAutospacing="0"/>
              <w:ind w:left="0" w:right="0" w:hanging="125" w:firstLineChars="0"/>
              <w:jc w:val="center"/>
              <w:rPr>
                <w:rFonts w:hint="eastAsia" w:asciiTheme="minorEastAsia" w:hAnsiTheme="minorEastAsia" w:eastAsiaTheme="minorEastAsia" w:cstheme="minorBidi"/>
                <w:color w:val="auto"/>
                <w:sz w:val="24"/>
                <w:lang w:val="en-US" w:eastAsia="zh-CN"/>
              </w:rPr>
            </w:pPr>
            <w:r>
              <w:rPr>
                <w:rFonts w:hint="eastAsia" w:asciiTheme="minorEastAsia" w:hAnsiTheme="minorEastAsia" w:eastAsiaTheme="minorEastAsia" w:cstheme="minorBidi"/>
                <w:color w:val="auto"/>
                <w:sz w:val="24"/>
                <w:lang w:val="en-US" w:eastAsia="zh-CN"/>
              </w:rPr>
              <w:t>条码打印管理</w:t>
            </w:r>
          </w:p>
        </w:tc>
        <w:tc>
          <w:tcPr>
            <w:tcW w:w="7436" w:type="dxa"/>
          </w:tcPr>
          <w:p>
            <w:pPr>
              <w:pStyle w:val="10"/>
              <w:keepNext w:val="0"/>
              <w:keepLines w:val="0"/>
              <w:numPr>
                <w:ilvl w:val="0"/>
                <w:numId w:val="11"/>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支持条码打印管理功能，可以图形化所见即所得的形式设计样本管标签。</w:t>
            </w:r>
          </w:p>
          <w:p>
            <w:pPr>
              <w:pStyle w:val="10"/>
              <w:keepNext w:val="0"/>
              <w:keepLines w:val="0"/>
              <w:numPr>
                <w:ilvl w:val="0"/>
                <w:numId w:val="11"/>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支持使用Windows字库，不需要标签打印机上另加汉字库。</w:t>
            </w:r>
          </w:p>
          <w:p>
            <w:pPr>
              <w:pStyle w:val="10"/>
              <w:keepNext w:val="0"/>
              <w:keepLines w:val="0"/>
              <w:numPr>
                <w:ilvl w:val="0"/>
                <w:numId w:val="11"/>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支持多种品牌打印机的接入，包括但不限于贝迪标签打印机。</w:t>
            </w:r>
          </w:p>
          <w:p>
            <w:pPr>
              <w:pStyle w:val="10"/>
              <w:keepNext w:val="0"/>
              <w:keepLines w:val="0"/>
              <w:numPr>
                <w:ilvl w:val="0"/>
                <w:numId w:val="11"/>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支持DM码、QR码的标签打印。</w:t>
            </w:r>
          </w:p>
          <w:p>
            <w:pPr>
              <w:pStyle w:val="10"/>
              <w:keepNext w:val="0"/>
              <w:keepLines w:val="0"/>
              <w:numPr>
                <w:ilvl w:val="0"/>
                <w:numId w:val="11"/>
              </w:numPr>
              <w:suppressLineNumbers w:val="0"/>
              <w:spacing w:before="0" w:beforeAutospacing="0" w:after="0" w:afterAutospacing="0"/>
              <w:ind w:right="0" w:firstLineChars="0"/>
              <w:jc w:val="lef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支持多种样本管标签设计，并可以根据标本类型自动切换。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pStyle w:val="10"/>
              <w:keepNext w:val="0"/>
              <w:keepLines w:val="0"/>
              <w:numPr>
                <w:ilvl w:val="0"/>
                <w:numId w:val="1"/>
              </w:numPr>
              <w:suppressLineNumbers w:val="0"/>
              <w:spacing w:before="0" w:beforeAutospacing="0" w:after="0" w:afterAutospacing="0"/>
              <w:ind w:left="0" w:right="0" w:hanging="125" w:firstLineChars="0"/>
              <w:jc w:val="center"/>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系统</w:t>
            </w:r>
            <w:r>
              <w:rPr>
                <w:rFonts w:hint="default" w:asciiTheme="minorEastAsia" w:hAnsiTheme="minorEastAsia" w:eastAsiaTheme="minorEastAsia" w:cstheme="minorBidi"/>
                <w:sz w:val="24"/>
              </w:rPr>
              <w:t>集成</w:t>
            </w:r>
          </w:p>
        </w:tc>
        <w:tc>
          <w:tcPr>
            <w:tcW w:w="7436" w:type="dxa"/>
          </w:tcPr>
          <w:p>
            <w:pPr>
              <w:pStyle w:val="11"/>
              <w:keepNext w:val="0"/>
              <w:keepLines w:val="0"/>
              <w:numPr>
                <w:ilvl w:val="0"/>
                <w:numId w:val="12"/>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支持项目管理者、项目成员、研究人员、系统管理员等进行身份匹配和权限管理，可自定义用户权限及自定义权限类型。</w:t>
            </w:r>
          </w:p>
          <w:p>
            <w:pPr>
              <w:pStyle w:val="11"/>
              <w:keepNext w:val="0"/>
              <w:keepLines w:val="0"/>
              <w:numPr>
                <w:ilvl w:val="0"/>
                <w:numId w:val="12"/>
              </w:numPr>
              <w:suppressLineNumbers w:val="0"/>
              <w:spacing w:before="0" w:beforeAutospacing="0" w:after="0" w:afterAutospacing="0"/>
              <w:ind w:right="0" w:firstLineChars="0"/>
              <w:rPr>
                <w:rFonts w:hint="default" w:asciiTheme="minorEastAsia" w:hAnsiTheme="minorEastAsia" w:eastAsiaTheme="minorEastAsia" w:cstheme="minorBidi"/>
                <w:color w:val="auto"/>
                <w:sz w:val="24"/>
              </w:rPr>
            </w:pPr>
            <w:r>
              <w:rPr>
                <w:rFonts w:hint="eastAsia" w:asciiTheme="minorEastAsia" w:hAnsiTheme="minorEastAsia" w:eastAsiaTheme="minorEastAsia" w:cstheme="minorBidi"/>
                <w:color w:val="auto"/>
                <w:sz w:val="24"/>
              </w:rPr>
              <w:t>系统</w:t>
            </w:r>
            <w:r>
              <w:rPr>
                <w:rFonts w:hint="default" w:asciiTheme="minorEastAsia" w:hAnsiTheme="minorEastAsia" w:eastAsiaTheme="minorEastAsia" w:cstheme="minorBidi"/>
                <w:color w:val="auto"/>
                <w:sz w:val="24"/>
              </w:rPr>
              <w:t>具有良好</w:t>
            </w:r>
            <w:r>
              <w:rPr>
                <w:rFonts w:hint="eastAsia" w:asciiTheme="minorEastAsia" w:hAnsiTheme="minorEastAsia" w:eastAsiaTheme="minorEastAsia" w:cstheme="minorBidi"/>
                <w:color w:val="auto"/>
                <w:sz w:val="24"/>
              </w:rPr>
              <w:t>的</w:t>
            </w:r>
            <w:r>
              <w:rPr>
                <w:rFonts w:hint="default" w:asciiTheme="minorEastAsia" w:hAnsiTheme="minorEastAsia" w:eastAsiaTheme="minorEastAsia" w:cstheme="minorBidi"/>
                <w:color w:val="auto"/>
                <w:sz w:val="24"/>
              </w:rPr>
              <w:t>扩展性，</w:t>
            </w:r>
            <w:r>
              <w:rPr>
                <w:rFonts w:hint="eastAsia" w:asciiTheme="minorEastAsia" w:hAnsiTheme="minorEastAsia" w:eastAsiaTheme="minorEastAsia" w:cstheme="minorBidi"/>
                <w:color w:val="auto"/>
                <w:sz w:val="24"/>
              </w:rPr>
              <w:t>具有</w:t>
            </w:r>
            <w:r>
              <w:rPr>
                <w:rFonts w:hint="default" w:asciiTheme="minorEastAsia" w:hAnsiTheme="minorEastAsia" w:eastAsiaTheme="minorEastAsia" w:cstheme="minorBidi"/>
                <w:color w:val="auto"/>
                <w:sz w:val="24"/>
              </w:rPr>
              <w:t>与院方其他系统集成能力</w:t>
            </w:r>
            <w:r>
              <w:rPr>
                <w:rFonts w:hint="eastAsia" w:asciiTheme="minorEastAsia" w:hAnsiTheme="minorEastAsia" w:eastAsiaTheme="minorEastAsia" w:cstheme="minorBidi"/>
                <w:color w:val="auto"/>
                <w:sz w:val="24"/>
                <w:lang w:eastAsia="zh-CN"/>
              </w:rPr>
              <w:t>，</w:t>
            </w:r>
            <w:r>
              <w:rPr>
                <w:rFonts w:hint="eastAsia" w:asciiTheme="minorEastAsia" w:hAnsiTheme="minorEastAsia" w:eastAsiaTheme="minorEastAsia" w:cstheme="minorBidi"/>
                <w:color w:val="auto"/>
                <w:sz w:val="24"/>
                <w:lang w:val="en-US" w:eastAsia="zh-CN"/>
              </w:rPr>
              <w:t>可与HIS、LIS、PACS、EMR、科教管理系统、病理系统、手术系统进行对接</w:t>
            </w:r>
            <w:r>
              <w:rPr>
                <w:rFonts w:hint="eastAsia" w:asciiTheme="minorEastAsia" w:hAnsiTheme="minorEastAsia" w:eastAsiaTheme="minorEastAsia" w:cstheme="minorBidi"/>
                <w:color w:val="auto"/>
                <w:sz w:val="24"/>
              </w:rPr>
              <w:t>。</w:t>
            </w:r>
          </w:p>
          <w:p>
            <w:pPr>
              <w:pStyle w:val="11"/>
              <w:keepNext w:val="0"/>
              <w:keepLines w:val="0"/>
              <w:numPr>
                <w:ilvl w:val="0"/>
                <w:numId w:val="12"/>
              </w:numPr>
              <w:suppressLineNumbers w:val="0"/>
              <w:spacing w:before="0" w:beforeAutospacing="0" w:after="0" w:afterAutospacing="0"/>
              <w:ind w:right="0" w:firstLineChars="0"/>
              <w:rPr>
                <w:rFonts w:hint="default" w:asciiTheme="minorEastAsia" w:hAnsiTheme="minorEastAsia" w:eastAsiaTheme="minorEastAsia" w:cstheme="minorBidi"/>
                <w:color w:val="auto"/>
                <w:sz w:val="24"/>
              </w:rPr>
            </w:pPr>
            <w:r>
              <w:rPr>
                <w:rFonts w:hint="eastAsia" w:asciiTheme="minorEastAsia" w:hAnsiTheme="minorEastAsia" w:eastAsiaTheme="minorEastAsia" w:cstheme="minorBidi"/>
                <w:color w:val="auto"/>
                <w:sz w:val="24"/>
                <w:lang w:val="en-US" w:eastAsia="zh-CN"/>
              </w:rPr>
              <w:t>支持按照病历号或就诊号，获取与样本库标本对应的病理报告，供样本库用户参考，并可按照病历诊断结果进行样本查询。</w:t>
            </w:r>
          </w:p>
          <w:p>
            <w:pPr>
              <w:pStyle w:val="11"/>
              <w:keepNext w:val="0"/>
              <w:keepLines w:val="0"/>
              <w:numPr>
                <w:ilvl w:val="0"/>
                <w:numId w:val="12"/>
              </w:numPr>
              <w:suppressLineNumbers w:val="0"/>
              <w:spacing w:before="0" w:beforeAutospacing="0" w:after="0" w:afterAutospacing="0"/>
              <w:ind w:right="0" w:firstLineChars="0"/>
              <w:rPr>
                <w:rFonts w:hint="default" w:asciiTheme="minorEastAsia" w:hAnsiTheme="minorEastAsia" w:eastAsiaTheme="minorEastAsia" w:cstheme="minorBidi"/>
                <w:color w:val="auto"/>
                <w:sz w:val="24"/>
              </w:rPr>
            </w:pPr>
            <w:r>
              <w:rPr>
                <w:rFonts w:hint="eastAsia" w:asciiTheme="minorEastAsia" w:hAnsiTheme="minorEastAsia" w:eastAsiaTheme="minorEastAsia" w:cstheme="minorBidi"/>
                <w:color w:val="auto"/>
                <w:sz w:val="24"/>
                <w:lang w:val="en-US" w:eastAsia="zh-CN"/>
              </w:rPr>
              <w:t>支持获取手术排程数据，可按科室或手术医师筛选预登记捐献者，可进行任意字全字段匹配搜索，并对已采样进行标注。</w:t>
            </w:r>
          </w:p>
          <w:p>
            <w:pPr>
              <w:pStyle w:val="11"/>
              <w:keepNext w:val="0"/>
              <w:keepLines w:val="0"/>
              <w:numPr>
                <w:ilvl w:val="0"/>
                <w:numId w:val="12"/>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支持 WEB services、</w:t>
            </w:r>
            <w:r>
              <w:rPr>
                <w:rFonts w:hint="default" w:asciiTheme="minorEastAsia" w:hAnsiTheme="minorEastAsia" w:eastAsiaTheme="minorEastAsia" w:cstheme="minorBidi"/>
                <w:sz w:val="24"/>
              </w:rPr>
              <w:t>DLL</w:t>
            </w:r>
            <w:r>
              <w:rPr>
                <w:rFonts w:hint="eastAsia" w:asciiTheme="minorEastAsia" w:hAnsiTheme="minorEastAsia" w:eastAsiaTheme="minorEastAsia" w:cstheme="minorBidi"/>
                <w:sz w:val="24"/>
              </w:rPr>
              <w:t>等多种集成方式。</w:t>
            </w:r>
          </w:p>
          <w:p>
            <w:pPr>
              <w:pStyle w:val="11"/>
              <w:keepNext w:val="0"/>
              <w:keepLines w:val="0"/>
              <w:numPr>
                <w:ilvl w:val="0"/>
                <w:numId w:val="12"/>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支持统一</w:t>
            </w:r>
            <w:r>
              <w:rPr>
                <w:rFonts w:hint="default" w:asciiTheme="minorEastAsia" w:hAnsiTheme="minorEastAsia" w:eastAsiaTheme="minorEastAsia" w:cstheme="minorBidi"/>
                <w:sz w:val="24"/>
              </w:rPr>
              <w:t>的用户管理、认证</w:t>
            </w:r>
            <w:r>
              <w:rPr>
                <w:rFonts w:hint="eastAsia" w:asciiTheme="minorEastAsia" w:hAnsiTheme="minorEastAsia" w:eastAsiaTheme="minorEastAsia" w:cstheme="minorBidi"/>
                <w:sz w:val="24"/>
                <w:lang w:eastAsia="zh-CN"/>
              </w:rPr>
              <w:t>，</w:t>
            </w:r>
            <w:bookmarkStart w:id="0" w:name="_GoBack"/>
            <w:bookmarkEnd w:id="0"/>
            <w:r>
              <w:rPr>
                <w:rFonts w:hint="eastAsia" w:asciiTheme="minorEastAsia" w:hAnsiTheme="minorEastAsia" w:eastAsiaTheme="minorEastAsia" w:cstheme="minorBidi"/>
                <w:sz w:val="24"/>
                <w:lang w:val="en-US" w:eastAsia="zh-CN"/>
              </w:rPr>
              <w:t>支持与本院</w:t>
            </w:r>
            <w:r>
              <w:rPr>
                <w:rFonts w:hint="default" w:asciiTheme="minorEastAsia" w:hAnsiTheme="minorEastAsia" w:eastAsiaTheme="minorEastAsia" w:cstheme="minorBidi"/>
                <w:sz w:val="24"/>
              </w:rPr>
              <w:t>单点登录</w:t>
            </w:r>
            <w:r>
              <w:rPr>
                <w:rFonts w:hint="eastAsia" w:asciiTheme="minorEastAsia" w:hAnsiTheme="minorEastAsia" w:eastAsiaTheme="minorEastAsia" w:cstheme="minorBidi"/>
                <w:sz w:val="24"/>
                <w:lang w:val="en-US" w:eastAsia="zh-CN"/>
              </w:rPr>
              <w:t>集成</w:t>
            </w:r>
            <w:r>
              <w:rPr>
                <w:rFonts w:hint="eastAsia" w:asciiTheme="minorEastAsia" w:hAnsiTheme="minorEastAsia" w:eastAsiaTheme="minorEastAsia" w:cstheme="minorBidi"/>
                <w:sz w:val="24"/>
              </w:rPr>
              <w:t>。</w:t>
            </w:r>
          </w:p>
          <w:p>
            <w:pPr>
              <w:pStyle w:val="11"/>
              <w:keepNext w:val="0"/>
              <w:keepLines w:val="0"/>
              <w:numPr>
                <w:ilvl w:val="0"/>
                <w:numId w:val="12"/>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支持将</w:t>
            </w:r>
            <w:r>
              <w:rPr>
                <w:rFonts w:hint="default" w:asciiTheme="minorEastAsia" w:hAnsiTheme="minorEastAsia" w:eastAsiaTheme="minorEastAsia" w:cstheme="minorBidi"/>
                <w:sz w:val="24"/>
              </w:rPr>
              <w:t>所有的操作记录</w:t>
            </w:r>
            <w:r>
              <w:rPr>
                <w:rFonts w:hint="eastAsia" w:asciiTheme="minorEastAsia" w:hAnsiTheme="minorEastAsia" w:eastAsiaTheme="minorEastAsia" w:cstheme="minorBidi"/>
                <w:sz w:val="24"/>
              </w:rPr>
              <w:t>按照本院要求实现CA</w:t>
            </w:r>
            <w:r>
              <w:rPr>
                <w:rFonts w:hint="default" w:asciiTheme="minorEastAsia" w:hAnsiTheme="minorEastAsia" w:eastAsiaTheme="minorEastAsia" w:cstheme="minorBidi"/>
                <w:sz w:val="24"/>
              </w:rPr>
              <w:t>电子签名。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pStyle w:val="10"/>
              <w:keepNext w:val="0"/>
              <w:keepLines w:val="0"/>
              <w:numPr>
                <w:ilvl w:val="0"/>
                <w:numId w:val="1"/>
              </w:numPr>
              <w:suppressLineNumbers w:val="0"/>
              <w:spacing w:before="0" w:beforeAutospacing="0" w:after="0" w:afterAutospacing="0"/>
              <w:ind w:left="0" w:right="0" w:hanging="125" w:firstLineChars="0"/>
              <w:jc w:val="center"/>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备份</w:t>
            </w:r>
            <w:r>
              <w:rPr>
                <w:rFonts w:hint="default" w:asciiTheme="minorEastAsia" w:hAnsiTheme="minorEastAsia" w:eastAsiaTheme="minorEastAsia" w:cstheme="minorBidi"/>
                <w:sz w:val="24"/>
              </w:rPr>
              <w:t>与</w:t>
            </w:r>
            <w:r>
              <w:rPr>
                <w:rFonts w:hint="eastAsia" w:asciiTheme="minorEastAsia" w:hAnsiTheme="minorEastAsia" w:eastAsiaTheme="minorEastAsia" w:cstheme="minorBidi"/>
                <w:sz w:val="24"/>
              </w:rPr>
              <w:t>恢复</w:t>
            </w:r>
          </w:p>
        </w:tc>
        <w:tc>
          <w:tcPr>
            <w:tcW w:w="7436" w:type="dxa"/>
          </w:tcPr>
          <w:p>
            <w:pPr>
              <w:pStyle w:val="11"/>
              <w:keepNext w:val="0"/>
              <w:keepLines w:val="0"/>
              <w:numPr>
                <w:ilvl w:val="0"/>
                <w:numId w:val="13"/>
              </w:numPr>
              <w:suppressLineNumbers w:val="0"/>
              <w:spacing w:before="0" w:beforeAutospacing="0" w:after="0" w:afterAutospacing="0"/>
              <w:ind w:left="480" w:right="0" w:hanging="480" w:hangingChars="20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系统</w:t>
            </w:r>
            <w:r>
              <w:rPr>
                <w:rFonts w:hint="default" w:asciiTheme="minorEastAsia" w:hAnsiTheme="minorEastAsia" w:eastAsiaTheme="minorEastAsia" w:cstheme="minorBidi"/>
                <w:sz w:val="24"/>
              </w:rPr>
              <w:t>需</w:t>
            </w:r>
            <w:r>
              <w:rPr>
                <w:rFonts w:hint="eastAsia" w:asciiTheme="minorEastAsia" w:hAnsiTheme="minorEastAsia" w:eastAsiaTheme="minorEastAsia" w:cstheme="minorBidi"/>
                <w:sz w:val="24"/>
              </w:rPr>
              <w:t>有</w:t>
            </w:r>
            <w:r>
              <w:rPr>
                <w:rFonts w:hint="default" w:asciiTheme="minorEastAsia" w:hAnsiTheme="minorEastAsia" w:eastAsiaTheme="minorEastAsia" w:cstheme="minorBidi"/>
                <w:sz w:val="24"/>
              </w:rPr>
              <w:t>完备</w:t>
            </w:r>
            <w:r>
              <w:rPr>
                <w:rFonts w:hint="eastAsia" w:asciiTheme="minorEastAsia" w:hAnsiTheme="minorEastAsia" w:eastAsiaTheme="minorEastAsia" w:cstheme="minorBidi"/>
                <w:sz w:val="24"/>
              </w:rPr>
              <w:t>的</w:t>
            </w:r>
            <w:r>
              <w:rPr>
                <w:rFonts w:hint="default" w:asciiTheme="minorEastAsia" w:hAnsiTheme="minorEastAsia" w:eastAsiaTheme="minorEastAsia" w:cstheme="minorBidi"/>
                <w:sz w:val="24"/>
              </w:rPr>
              <w:t>数据备份方案，确保在软硬件故障或其</w:t>
            </w:r>
            <w:r>
              <w:rPr>
                <w:rFonts w:hint="eastAsia" w:asciiTheme="minorEastAsia" w:hAnsiTheme="minorEastAsia" w:eastAsiaTheme="minorEastAsia" w:cstheme="minorBidi"/>
                <w:sz w:val="24"/>
              </w:rPr>
              <w:t>它</w:t>
            </w:r>
            <w:r>
              <w:rPr>
                <w:rFonts w:hint="default" w:asciiTheme="minorEastAsia" w:hAnsiTheme="minorEastAsia" w:eastAsiaTheme="minorEastAsia" w:cstheme="minorBidi"/>
                <w:sz w:val="24"/>
              </w:rPr>
              <w:t>原因产生数据异常时，保证数据可恢复</w:t>
            </w:r>
            <w:r>
              <w:rPr>
                <w:rFonts w:hint="eastAsia" w:asciiTheme="minorEastAsia" w:hAnsiTheme="minorEastAsia" w:eastAsiaTheme="minorEastAsia" w:cstheme="minorBidi"/>
                <w:sz w:val="24"/>
              </w:rPr>
              <w:t>、</w:t>
            </w:r>
            <w:r>
              <w:rPr>
                <w:rFonts w:hint="default" w:asciiTheme="minorEastAsia" w:hAnsiTheme="minorEastAsia" w:eastAsiaTheme="minorEastAsia" w:cstheme="minorBidi"/>
                <w:sz w:val="24"/>
              </w:rPr>
              <w:t>不丢失</w:t>
            </w:r>
            <w:r>
              <w:rPr>
                <w:rFonts w:hint="eastAsia" w:asciiTheme="minorEastAsia" w:hAnsiTheme="minorEastAsia" w:eastAsiaTheme="minorEastAsia" w:cstheme="minorBidi"/>
                <w:sz w:val="24"/>
              </w:rPr>
              <w:t>。</w:t>
            </w:r>
          </w:p>
          <w:p>
            <w:pPr>
              <w:pStyle w:val="11"/>
              <w:keepNext w:val="0"/>
              <w:keepLines w:val="0"/>
              <w:numPr>
                <w:ilvl w:val="0"/>
                <w:numId w:val="13"/>
              </w:numPr>
              <w:suppressLineNumbers w:val="0"/>
              <w:spacing w:before="0" w:beforeAutospacing="0" w:after="0" w:afterAutospacing="0"/>
              <w:ind w:left="480" w:right="0" w:hanging="480" w:hangingChars="20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系统</w:t>
            </w:r>
            <w:r>
              <w:rPr>
                <w:rFonts w:hint="default" w:asciiTheme="minorEastAsia" w:hAnsiTheme="minorEastAsia" w:eastAsiaTheme="minorEastAsia" w:cstheme="minorBidi"/>
                <w:sz w:val="24"/>
              </w:rPr>
              <w:t>需支持性能监控</w:t>
            </w:r>
            <w:r>
              <w:rPr>
                <w:rFonts w:hint="eastAsia" w:asciiTheme="minorEastAsia" w:hAnsiTheme="minorEastAsia" w:eastAsiaTheme="minorEastAsia" w:cstheme="minorBidi"/>
                <w:sz w:val="24"/>
              </w:rPr>
              <w:t>、</w:t>
            </w:r>
            <w:r>
              <w:rPr>
                <w:rFonts w:hint="default" w:asciiTheme="minorEastAsia" w:hAnsiTheme="minorEastAsia" w:eastAsiaTheme="minorEastAsia" w:cstheme="minorBidi"/>
                <w:sz w:val="24"/>
              </w:rPr>
              <w:t>异常监控、存储监控等功能。当</w:t>
            </w:r>
            <w:r>
              <w:rPr>
                <w:rFonts w:hint="eastAsia" w:asciiTheme="minorEastAsia" w:hAnsiTheme="minorEastAsia" w:eastAsiaTheme="minorEastAsia" w:cstheme="minorBidi"/>
                <w:sz w:val="24"/>
              </w:rPr>
              <w:t>系统</w:t>
            </w:r>
            <w:r>
              <w:rPr>
                <w:rFonts w:hint="default" w:asciiTheme="minorEastAsia" w:hAnsiTheme="minorEastAsia" w:eastAsiaTheme="minorEastAsia" w:cstheme="minorBidi"/>
                <w:sz w:val="24"/>
              </w:rPr>
              <w:t>出现异常、存储不足</w:t>
            </w:r>
            <w:r>
              <w:rPr>
                <w:rFonts w:hint="eastAsia" w:asciiTheme="minorEastAsia" w:hAnsiTheme="minorEastAsia" w:eastAsiaTheme="minorEastAsia" w:cstheme="minorBidi"/>
                <w:sz w:val="24"/>
              </w:rPr>
              <w:t>等</w:t>
            </w:r>
            <w:r>
              <w:rPr>
                <w:rFonts w:hint="default" w:asciiTheme="minorEastAsia" w:hAnsiTheme="minorEastAsia" w:eastAsiaTheme="minorEastAsia" w:cstheme="minorBidi"/>
                <w:sz w:val="24"/>
              </w:rPr>
              <w:t>情况时，可通过一定策略</w:t>
            </w:r>
            <w:r>
              <w:rPr>
                <w:rFonts w:hint="eastAsia" w:asciiTheme="minorEastAsia" w:hAnsiTheme="minorEastAsia" w:eastAsiaTheme="minorEastAsia" w:cstheme="minorBidi"/>
                <w:sz w:val="24"/>
              </w:rPr>
              <w:t>（邮件</w:t>
            </w:r>
            <w:r>
              <w:rPr>
                <w:rFonts w:hint="default" w:asciiTheme="minorEastAsia" w:hAnsiTheme="minorEastAsia" w:eastAsiaTheme="minorEastAsia" w:cstheme="minorBidi"/>
                <w:sz w:val="24"/>
              </w:rPr>
              <w:t>、短信等）</w:t>
            </w:r>
            <w:r>
              <w:rPr>
                <w:rFonts w:hint="eastAsia" w:asciiTheme="minorEastAsia" w:hAnsiTheme="minorEastAsia" w:eastAsiaTheme="minorEastAsia" w:cstheme="minorBidi"/>
                <w:sz w:val="24"/>
              </w:rPr>
              <w:t>通知</w:t>
            </w:r>
            <w:r>
              <w:rPr>
                <w:rFonts w:hint="default" w:asciiTheme="minorEastAsia" w:hAnsiTheme="minorEastAsia" w:eastAsiaTheme="minorEastAsia" w:cstheme="minorBidi"/>
                <w:sz w:val="24"/>
              </w:rPr>
              <w:t>管理员</w:t>
            </w:r>
            <w:r>
              <w:rPr>
                <w:rFonts w:hint="eastAsia" w:asciiTheme="minorEastAsia" w:hAnsiTheme="minorEastAsia" w:eastAsiaTheme="minorEastAsia" w:cstheme="minorBidi"/>
                <w:sz w:val="24"/>
              </w:rPr>
              <w:t>或</w:t>
            </w:r>
            <w:r>
              <w:rPr>
                <w:rFonts w:hint="default" w:asciiTheme="minorEastAsia" w:hAnsiTheme="minorEastAsia" w:eastAsiaTheme="minorEastAsia" w:cstheme="minorBidi"/>
                <w:sz w:val="24"/>
              </w:rPr>
              <w:t>维护人员。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pStyle w:val="10"/>
              <w:keepNext w:val="0"/>
              <w:keepLines w:val="0"/>
              <w:numPr>
                <w:ilvl w:val="0"/>
                <w:numId w:val="1"/>
              </w:numPr>
              <w:suppressLineNumbers w:val="0"/>
              <w:spacing w:before="0" w:beforeAutospacing="0" w:after="0" w:afterAutospacing="0"/>
              <w:ind w:left="0" w:right="0" w:hanging="125" w:firstLineChars="0"/>
              <w:jc w:val="center"/>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信息</w:t>
            </w:r>
            <w:r>
              <w:rPr>
                <w:rFonts w:hint="default" w:asciiTheme="minorEastAsia" w:hAnsiTheme="minorEastAsia" w:eastAsiaTheme="minorEastAsia" w:cstheme="minorBidi"/>
                <w:sz w:val="24"/>
              </w:rPr>
              <w:t>安全</w:t>
            </w:r>
          </w:p>
        </w:tc>
        <w:tc>
          <w:tcPr>
            <w:tcW w:w="7436" w:type="dxa"/>
          </w:tcPr>
          <w:p>
            <w:pPr>
              <w:pStyle w:val="11"/>
              <w:keepNext w:val="0"/>
              <w:keepLines w:val="0"/>
              <w:numPr>
                <w:ilvl w:val="0"/>
                <w:numId w:val="14"/>
              </w:numPr>
              <w:suppressLineNumbers w:val="0"/>
              <w:spacing w:before="0" w:beforeAutospacing="0" w:after="0" w:afterAutospacing="0"/>
              <w:ind w:left="480" w:right="0" w:hanging="480" w:hangingChars="20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应用服务器及</w:t>
            </w:r>
            <w:r>
              <w:rPr>
                <w:rFonts w:hint="default" w:asciiTheme="minorEastAsia" w:hAnsiTheme="minorEastAsia" w:eastAsiaTheme="minorEastAsia" w:cstheme="minorBidi"/>
                <w:sz w:val="24"/>
              </w:rPr>
              <w:t>数据库必须部署在院内</w:t>
            </w:r>
            <w:r>
              <w:rPr>
                <w:rFonts w:hint="eastAsia" w:asciiTheme="minorEastAsia" w:hAnsiTheme="minorEastAsia" w:eastAsiaTheme="minorEastAsia" w:cstheme="minorBidi"/>
                <w:sz w:val="24"/>
              </w:rPr>
              <w:t>网</w:t>
            </w:r>
            <w:r>
              <w:rPr>
                <w:rFonts w:hint="default" w:asciiTheme="minorEastAsia" w:hAnsiTheme="minorEastAsia" w:eastAsiaTheme="minorEastAsia" w:cstheme="minorBidi"/>
                <w:sz w:val="24"/>
              </w:rPr>
              <w:t>中</w:t>
            </w:r>
            <w:r>
              <w:rPr>
                <w:rFonts w:hint="eastAsia" w:asciiTheme="minorEastAsia" w:hAnsiTheme="minorEastAsia" w:eastAsiaTheme="minorEastAsia" w:cstheme="minorBidi"/>
                <w:sz w:val="24"/>
              </w:rPr>
              <w:t>，以保障</w:t>
            </w:r>
            <w:r>
              <w:rPr>
                <w:rFonts w:hint="default" w:asciiTheme="minorEastAsia" w:hAnsiTheme="minorEastAsia" w:eastAsiaTheme="minorEastAsia" w:cstheme="minorBidi"/>
                <w:sz w:val="24"/>
              </w:rPr>
              <w:t>数据保存均要在院内网环境</w:t>
            </w:r>
            <w:r>
              <w:rPr>
                <w:rFonts w:hint="eastAsia" w:asciiTheme="minorEastAsia" w:hAnsiTheme="minorEastAsia" w:eastAsiaTheme="minorEastAsia" w:cstheme="minorBidi"/>
                <w:sz w:val="24"/>
              </w:rPr>
              <w:t>下进行。</w:t>
            </w:r>
          </w:p>
          <w:p>
            <w:pPr>
              <w:pStyle w:val="11"/>
              <w:keepNext w:val="0"/>
              <w:keepLines w:val="0"/>
              <w:numPr>
                <w:ilvl w:val="0"/>
                <w:numId w:val="14"/>
              </w:numPr>
              <w:suppressLineNumbers w:val="0"/>
              <w:spacing w:before="0" w:beforeAutospacing="0" w:after="0" w:afterAutospacing="0"/>
              <w:ind w:left="480" w:right="0" w:hanging="480" w:hangingChars="20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具备</w:t>
            </w:r>
            <w:r>
              <w:rPr>
                <w:rFonts w:hint="default" w:asciiTheme="minorEastAsia" w:hAnsiTheme="minorEastAsia" w:eastAsiaTheme="minorEastAsia" w:cstheme="minorBidi"/>
                <w:sz w:val="24"/>
              </w:rPr>
              <w:t>完善的数据</w:t>
            </w:r>
            <w:r>
              <w:rPr>
                <w:rFonts w:hint="eastAsia" w:asciiTheme="minorEastAsia" w:hAnsiTheme="minorEastAsia" w:eastAsiaTheme="minorEastAsia" w:cstheme="minorBidi"/>
                <w:sz w:val="24"/>
              </w:rPr>
              <w:t>保密</w:t>
            </w:r>
            <w:r>
              <w:rPr>
                <w:rFonts w:hint="default" w:asciiTheme="minorEastAsia" w:hAnsiTheme="minorEastAsia" w:eastAsiaTheme="minorEastAsia" w:cstheme="minorBidi"/>
                <w:sz w:val="24"/>
              </w:rPr>
              <w:t>机制，防止</w:t>
            </w:r>
            <w:r>
              <w:rPr>
                <w:rFonts w:hint="eastAsia" w:asciiTheme="minorEastAsia" w:hAnsiTheme="minorEastAsia" w:eastAsiaTheme="minorEastAsia" w:cstheme="minorBidi"/>
                <w:sz w:val="24"/>
              </w:rPr>
              <w:t>监护</w:t>
            </w:r>
            <w:r>
              <w:rPr>
                <w:rFonts w:hint="default" w:asciiTheme="minorEastAsia" w:hAnsiTheme="minorEastAsia" w:eastAsiaTheme="minorEastAsia" w:cstheme="minorBidi"/>
                <w:sz w:val="24"/>
              </w:rPr>
              <w:t>数据、个人隐私</w:t>
            </w:r>
            <w:r>
              <w:rPr>
                <w:rFonts w:hint="eastAsia" w:asciiTheme="minorEastAsia" w:hAnsiTheme="minorEastAsia" w:eastAsiaTheme="minorEastAsia" w:cstheme="minorBidi"/>
                <w:sz w:val="24"/>
              </w:rPr>
              <w:t>等</w:t>
            </w:r>
            <w:r>
              <w:rPr>
                <w:rFonts w:hint="default" w:asciiTheme="minorEastAsia" w:hAnsiTheme="minorEastAsia" w:eastAsiaTheme="minorEastAsia" w:cstheme="minorBidi"/>
                <w:sz w:val="24"/>
              </w:rPr>
              <w:t>数据的泄漏。</w:t>
            </w:r>
          </w:p>
          <w:p>
            <w:pPr>
              <w:pStyle w:val="11"/>
              <w:keepNext w:val="0"/>
              <w:keepLines w:val="0"/>
              <w:numPr>
                <w:ilvl w:val="0"/>
                <w:numId w:val="14"/>
              </w:numPr>
              <w:suppressLineNumbers w:val="0"/>
              <w:spacing w:before="0" w:beforeAutospacing="0" w:after="0" w:afterAutospacing="0"/>
              <w:ind w:left="480" w:right="0" w:hanging="480" w:hangingChars="200"/>
              <w:rPr>
                <w:rFonts w:hint="default" w:asciiTheme="minorEastAsia" w:hAnsiTheme="minorEastAsia" w:eastAsiaTheme="minorEastAsia" w:cstheme="minorBidi"/>
                <w:sz w:val="24"/>
              </w:rPr>
            </w:pPr>
            <w:r>
              <w:rPr>
                <w:rFonts w:hint="default" w:asciiTheme="minorEastAsia" w:hAnsiTheme="minorEastAsia" w:eastAsiaTheme="minorEastAsia" w:cstheme="minorBidi"/>
                <w:sz w:val="24"/>
              </w:rPr>
              <w:t>院</w:t>
            </w:r>
            <w:r>
              <w:rPr>
                <w:rFonts w:hint="eastAsia" w:asciiTheme="minorEastAsia" w:hAnsiTheme="minorEastAsia" w:eastAsiaTheme="minorEastAsia" w:cstheme="minorBidi"/>
                <w:sz w:val="24"/>
              </w:rPr>
              <w:t>内相关</w:t>
            </w:r>
            <w:r>
              <w:rPr>
                <w:rFonts w:hint="default" w:asciiTheme="minorEastAsia" w:hAnsiTheme="minorEastAsia" w:eastAsiaTheme="minorEastAsia" w:cstheme="minorBidi"/>
                <w:sz w:val="24"/>
              </w:rPr>
              <w:t>对接的软件工程师具有</w:t>
            </w:r>
            <w:r>
              <w:rPr>
                <w:rFonts w:hint="eastAsia" w:asciiTheme="minorEastAsia" w:hAnsiTheme="minorEastAsia" w:eastAsiaTheme="minorEastAsia" w:cstheme="minorBidi"/>
                <w:sz w:val="24"/>
              </w:rPr>
              <w:t>系统数据库</w:t>
            </w:r>
            <w:r>
              <w:rPr>
                <w:rFonts w:hint="default" w:asciiTheme="minorEastAsia" w:hAnsiTheme="minorEastAsia" w:eastAsiaTheme="minorEastAsia" w:cstheme="minorBidi"/>
                <w:sz w:val="24"/>
              </w:rPr>
              <w:t>的访问权。</w:t>
            </w:r>
          </w:p>
          <w:p>
            <w:pPr>
              <w:pStyle w:val="11"/>
              <w:keepNext w:val="0"/>
              <w:keepLines w:val="0"/>
              <w:numPr>
                <w:ilvl w:val="0"/>
                <w:numId w:val="14"/>
              </w:numPr>
              <w:suppressLineNumbers w:val="0"/>
              <w:spacing w:before="0" w:beforeAutospacing="0" w:after="0" w:afterAutospacing="0"/>
              <w:ind w:left="480" w:right="0" w:hanging="480" w:hangingChars="20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软件</w:t>
            </w:r>
            <w:r>
              <w:rPr>
                <w:rFonts w:hint="default" w:asciiTheme="minorEastAsia" w:hAnsiTheme="minorEastAsia" w:eastAsiaTheme="minorEastAsia" w:cstheme="minorBidi"/>
                <w:sz w:val="24"/>
              </w:rPr>
              <w:t>具备</w:t>
            </w:r>
            <w:r>
              <w:rPr>
                <w:rFonts w:hint="eastAsia" w:asciiTheme="minorEastAsia" w:hAnsiTheme="minorEastAsia" w:eastAsiaTheme="minorEastAsia" w:cstheme="minorBidi"/>
                <w:sz w:val="24"/>
              </w:rPr>
              <w:t>完整</w:t>
            </w:r>
            <w:r>
              <w:rPr>
                <w:rFonts w:hint="default" w:asciiTheme="minorEastAsia" w:hAnsiTheme="minorEastAsia" w:eastAsiaTheme="minorEastAsia" w:cstheme="minorBidi"/>
                <w:sz w:val="24"/>
              </w:rPr>
              <w:t>的权限管理功能、</w:t>
            </w:r>
            <w:r>
              <w:rPr>
                <w:rFonts w:hint="eastAsia" w:asciiTheme="minorEastAsia" w:hAnsiTheme="minorEastAsia" w:eastAsiaTheme="minorEastAsia" w:cstheme="minorBidi"/>
                <w:sz w:val="24"/>
              </w:rPr>
              <w:t>可</w:t>
            </w:r>
            <w:r>
              <w:rPr>
                <w:rFonts w:hint="default" w:asciiTheme="minorEastAsia" w:hAnsiTheme="minorEastAsia" w:eastAsiaTheme="minorEastAsia" w:cstheme="minorBidi"/>
                <w:sz w:val="24"/>
              </w:rPr>
              <w:t>定义用户可使用的功能</w:t>
            </w:r>
            <w:r>
              <w:rPr>
                <w:rFonts w:hint="eastAsia" w:asciiTheme="minorEastAsia" w:hAnsiTheme="minorEastAsia" w:eastAsiaTheme="minorEastAsia" w:cstheme="minorBidi"/>
                <w:sz w:val="24"/>
              </w:rPr>
              <w:t>。</w:t>
            </w:r>
          </w:p>
          <w:p>
            <w:pPr>
              <w:pStyle w:val="11"/>
              <w:keepNext w:val="0"/>
              <w:keepLines w:val="0"/>
              <w:numPr>
                <w:ilvl w:val="0"/>
                <w:numId w:val="14"/>
              </w:numPr>
              <w:suppressLineNumbers w:val="0"/>
              <w:spacing w:before="0" w:beforeAutospacing="0" w:after="0" w:afterAutospacing="0"/>
              <w:ind w:left="480" w:right="0" w:hanging="480" w:hangingChars="20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支持系统</w:t>
            </w:r>
            <w:r>
              <w:rPr>
                <w:rFonts w:hint="default" w:asciiTheme="minorEastAsia" w:hAnsiTheme="minorEastAsia" w:eastAsiaTheme="minorEastAsia" w:cstheme="minorBidi"/>
                <w:sz w:val="24"/>
              </w:rPr>
              <w:t>日志</w:t>
            </w:r>
            <w:r>
              <w:rPr>
                <w:rFonts w:hint="eastAsia" w:asciiTheme="minorEastAsia" w:hAnsiTheme="minorEastAsia" w:eastAsiaTheme="minorEastAsia" w:cstheme="minorBidi"/>
                <w:sz w:val="24"/>
              </w:rPr>
              <w:t>管理</w:t>
            </w:r>
            <w:r>
              <w:rPr>
                <w:rFonts w:hint="default" w:asciiTheme="minorEastAsia" w:hAnsiTheme="minorEastAsia" w:eastAsiaTheme="minorEastAsia" w:cstheme="minorBidi"/>
                <w:sz w:val="24"/>
              </w:rPr>
              <w:t>及审计技术，</w:t>
            </w:r>
            <w:r>
              <w:rPr>
                <w:rFonts w:hint="eastAsia" w:asciiTheme="minorEastAsia" w:hAnsiTheme="minorEastAsia" w:eastAsiaTheme="minorEastAsia" w:cstheme="minorBidi"/>
                <w:sz w:val="24"/>
              </w:rPr>
              <w:t>对登陆</w:t>
            </w:r>
            <w:r>
              <w:rPr>
                <w:rFonts w:hint="default" w:asciiTheme="minorEastAsia" w:hAnsiTheme="minorEastAsia" w:eastAsiaTheme="minorEastAsia" w:cstheme="minorBidi"/>
                <w:sz w:val="24"/>
              </w:rPr>
              <w:t>及访问明细</w:t>
            </w:r>
            <w:r>
              <w:rPr>
                <w:rFonts w:hint="eastAsia" w:asciiTheme="minorEastAsia" w:hAnsiTheme="minorEastAsia" w:eastAsiaTheme="minorEastAsia" w:cstheme="minorBidi"/>
                <w:sz w:val="24"/>
              </w:rPr>
              <w:t>需要进行</w:t>
            </w:r>
            <w:r>
              <w:rPr>
                <w:rFonts w:hint="default" w:asciiTheme="minorEastAsia" w:hAnsiTheme="minorEastAsia" w:eastAsiaTheme="minorEastAsia" w:cstheme="minorBidi"/>
                <w:sz w:val="24"/>
              </w:rPr>
              <w:t>审计</w:t>
            </w:r>
            <w:r>
              <w:rPr>
                <w:rFonts w:hint="eastAsia" w:asciiTheme="minorEastAsia" w:hAnsiTheme="minorEastAsia" w:eastAsiaTheme="minorEastAsia" w:cstheme="minorBidi"/>
                <w:sz w:val="24"/>
              </w:rPr>
              <w:t>，</w:t>
            </w:r>
            <w:r>
              <w:rPr>
                <w:rFonts w:hint="default" w:asciiTheme="minorEastAsia" w:hAnsiTheme="minorEastAsia" w:eastAsiaTheme="minorEastAsia" w:cstheme="minorBidi"/>
                <w:sz w:val="24"/>
              </w:rPr>
              <w:t>并定时分析</w:t>
            </w:r>
            <w:r>
              <w:rPr>
                <w:rFonts w:hint="eastAsia" w:asciiTheme="minorEastAsia" w:hAnsiTheme="minorEastAsia" w:eastAsiaTheme="minorEastAsia" w:cstheme="minorBidi"/>
                <w:sz w:val="24"/>
              </w:rPr>
              <w:t>、清除</w:t>
            </w:r>
            <w:r>
              <w:rPr>
                <w:rFonts w:hint="default" w:asciiTheme="minorEastAsia" w:hAnsiTheme="minorEastAsia" w:eastAsiaTheme="minorEastAsia" w:cstheme="minorBidi"/>
                <w:sz w:val="24"/>
              </w:rPr>
              <w:t>。</w:t>
            </w:r>
          </w:p>
          <w:p>
            <w:pPr>
              <w:pStyle w:val="11"/>
              <w:keepNext w:val="0"/>
              <w:keepLines w:val="0"/>
              <w:numPr>
                <w:ilvl w:val="0"/>
                <w:numId w:val="14"/>
              </w:numPr>
              <w:suppressLineNumbers w:val="0"/>
              <w:spacing w:before="0" w:beforeAutospacing="0" w:after="0" w:afterAutospacing="0"/>
              <w:ind w:left="480" w:right="0" w:hanging="480" w:hangingChars="20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具备</w:t>
            </w:r>
            <w:r>
              <w:rPr>
                <w:rFonts w:hint="default" w:asciiTheme="minorEastAsia" w:hAnsiTheme="minorEastAsia" w:eastAsiaTheme="minorEastAsia" w:cstheme="minorBidi"/>
                <w:sz w:val="24"/>
              </w:rPr>
              <w:t>XSS攻击、SQL注入、</w:t>
            </w:r>
            <w:r>
              <w:rPr>
                <w:rFonts w:hint="eastAsia" w:asciiTheme="minorEastAsia" w:hAnsiTheme="minorEastAsia" w:eastAsiaTheme="minorEastAsia" w:cstheme="minorBidi"/>
                <w:sz w:val="24"/>
              </w:rPr>
              <w:t>CSRF</w:t>
            </w:r>
            <w:r>
              <w:rPr>
                <w:rFonts w:hint="default" w:asciiTheme="minorEastAsia" w:hAnsiTheme="minorEastAsia" w:eastAsiaTheme="minorEastAsia" w:cstheme="minorBidi"/>
                <w:sz w:val="24"/>
              </w:rPr>
              <w:t>跨站请求伪造攻击</w:t>
            </w:r>
            <w:r>
              <w:rPr>
                <w:rFonts w:hint="eastAsia" w:asciiTheme="minorEastAsia" w:hAnsiTheme="minorEastAsia" w:eastAsiaTheme="minorEastAsia" w:cstheme="minorBidi"/>
                <w:sz w:val="24"/>
              </w:rPr>
              <w:t>、</w:t>
            </w:r>
            <w:r>
              <w:rPr>
                <w:rFonts w:hint="default" w:asciiTheme="minorEastAsia" w:hAnsiTheme="minorEastAsia" w:eastAsiaTheme="minorEastAsia" w:cstheme="minorBidi"/>
                <w:sz w:val="24"/>
              </w:rPr>
              <w:t>编码转换等攻击的防范机制。</w:t>
            </w:r>
          </w:p>
          <w:p>
            <w:pPr>
              <w:pStyle w:val="11"/>
              <w:keepNext w:val="0"/>
              <w:keepLines w:val="0"/>
              <w:numPr>
                <w:ilvl w:val="0"/>
                <w:numId w:val="14"/>
              </w:numPr>
              <w:suppressLineNumbers w:val="0"/>
              <w:spacing w:before="0" w:beforeAutospacing="0" w:after="0" w:afterAutospacing="0"/>
              <w:ind w:left="480" w:right="0" w:hanging="480" w:hangingChars="20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具备可靠</w:t>
            </w:r>
            <w:r>
              <w:rPr>
                <w:rFonts w:hint="default" w:asciiTheme="minorEastAsia" w:hAnsiTheme="minorEastAsia" w:eastAsiaTheme="minorEastAsia" w:cstheme="minorBidi"/>
                <w:sz w:val="24"/>
              </w:rPr>
              <w:t>的数据加密方式、算法及其他数据安全机制，确保业务数据的</w:t>
            </w:r>
            <w:r>
              <w:rPr>
                <w:rFonts w:hint="eastAsia" w:asciiTheme="minorEastAsia" w:hAnsiTheme="minorEastAsia" w:eastAsiaTheme="minorEastAsia" w:cstheme="minorBidi"/>
                <w:sz w:val="24"/>
              </w:rPr>
              <w:t>安全</w:t>
            </w:r>
            <w:r>
              <w:rPr>
                <w:rFonts w:hint="default" w:asciiTheme="minorEastAsia" w:hAnsiTheme="minorEastAsia" w:eastAsiaTheme="minorEastAsia" w:cstheme="minorBidi"/>
                <w:sz w:val="24"/>
              </w:rPr>
              <w:t>与稳定，</w:t>
            </w:r>
            <w:r>
              <w:rPr>
                <w:rFonts w:hint="eastAsia" w:asciiTheme="minorEastAsia" w:hAnsiTheme="minorEastAsia" w:eastAsiaTheme="minorEastAsia" w:cstheme="minorBidi"/>
                <w:sz w:val="24"/>
              </w:rPr>
              <w:t>严禁</w:t>
            </w:r>
            <w:r>
              <w:rPr>
                <w:rFonts w:hint="default" w:asciiTheme="minorEastAsia" w:hAnsiTheme="minorEastAsia" w:eastAsiaTheme="minorEastAsia" w:cstheme="minorBidi"/>
                <w:sz w:val="24"/>
              </w:rPr>
              <w:t>明码传输。</w:t>
            </w:r>
          </w:p>
          <w:p>
            <w:pPr>
              <w:pStyle w:val="11"/>
              <w:keepNext w:val="0"/>
              <w:keepLines w:val="0"/>
              <w:numPr>
                <w:ilvl w:val="0"/>
                <w:numId w:val="14"/>
              </w:numPr>
              <w:suppressLineNumbers w:val="0"/>
              <w:spacing w:before="0" w:beforeAutospacing="0" w:after="0" w:afterAutospacing="0"/>
              <w:ind w:left="480" w:right="0" w:hanging="480" w:hangingChars="20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具备可靠</w:t>
            </w:r>
            <w:r>
              <w:rPr>
                <w:rFonts w:hint="default" w:asciiTheme="minorEastAsia" w:hAnsiTheme="minorEastAsia" w:eastAsiaTheme="minorEastAsia" w:cstheme="minorBidi"/>
                <w:sz w:val="24"/>
              </w:rPr>
              <w:t>的</w:t>
            </w:r>
            <w:r>
              <w:rPr>
                <w:rFonts w:hint="eastAsia" w:asciiTheme="minorEastAsia" w:hAnsiTheme="minorEastAsia" w:eastAsiaTheme="minorEastAsia" w:cstheme="minorBidi"/>
                <w:sz w:val="24"/>
              </w:rPr>
              <w:t>身份</w:t>
            </w:r>
            <w:r>
              <w:rPr>
                <w:rFonts w:hint="default" w:asciiTheme="minorEastAsia" w:hAnsiTheme="minorEastAsia" w:eastAsiaTheme="minorEastAsia" w:cstheme="minorBidi"/>
                <w:sz w:val="24"/>
              </w:rPr>
              <w:t>鉴别和访问控制机制（</w:t>
            </w:r>
            <w:r>
              <w:rPr>
                <w:rFonts w:hint="eastAsia" w:asciiTheme="minorEastAsia" w:hAnsiTheme="minorEastAsia" w:eastAsiaTheme="minorEastAsia" w:cstheme="minorBidi"/>
                <w:sz w:val="24"/>
              </w:rPr>
              <w:t>如</w:t>
            </w:r>
            <w:r>
              <w:rPr>
                <w:rFonts w:hint="default" w:asciiTheme="minorEastAsia" w:hAnsiTheme="minorEastAsia" w:eastAsiaTheme="minorEastAsia" w:cstheme="minorBidi"/>
                <w:sz w:val="24"/>
              </w:rPr>
              <w:t>支持</w:t>
            </w:r>
            <w:r>
              <w:rPr>
                <w:rFonts w:hint="eastAsia" w:asciiTheme="minorEastAsia" w:hAnsiTheme="minorEastAsia" w:eastAsiaTheme="minorEastAsia" w:cstheme="minorBidi"/>
                <w:sz w:val="24"/>
              </w:rPr>
              <w:t>强密码策略，</w:t>
            </w:r>
            <w:r>
              <w:rPr>
                <w:rFonts w:hint="default" w:asciiTheme="minorEastAsia" w:hAnsiTheme="minorEastAsia" w:eastAsiaTheme="minorEastAsia" w:cstheme="minorBidi"/>
                <w:sz w:val="24"/>
              </w:rPr>
              <w:t>防止暴力破解、强制</w:t>
            </w:r>
            <w:r>
              <w:rPr>
                <w:rFonts w:hint="eastAsia" w:asciiTheme="minorEastAsia" w:hAnsiTheme="minorEastAsia" w:eastAsiaTheme="minorEastAsia" w:cstheme="minorBidi"/>
                <w:sz w:val="24"/>
              </w:rPr>
              <w:t>修改</w:t>
            </w:r>
            <w:r>
              <w:rPr>
                <w:rFonts w:hint="default" w:asciiTheme="minorEastAsia" w:hAnsiTheme="minorEastAsia" w:eastAsiaTheme="minorEastAsia" w:cstheme="minorBidi"/>
                <w:sz w:val="24"/>
              </w:rPr>
              <w:t>默认</w:t>
            </w:r>
            <w:r>
              <w:rPr>
                <w:rFonts w:hint="eastAsia" w:asciiTheme="minorEastAsia" w:hAnsiTheme="minorEastAsia" w:eastAsiaTheme="minorEastAsia" w:cstheme="minorBidi"/>
                <w:sz w:val="24"/>
              </w:rPr>
              <w:t>密码</w:t>
            </w:r>
            <w:r>
              <w:rPr>
                <w:rFonts w:hint="default" w:asciiTheme="minorEastAsia" w:hAnsiTheme="minorEastAsia" w:eastAsiaTheme="minorEastAsia" w:cstheme="minorBidi"/>
                <w:sz w:val="24"/>
              </w:rPr>
              <w:t>等）</w:t>
            </w:r>
          </w:p>
          <w:p>
            <w:pPr>
              <w:pStyle w:val="11"/>
              <w:keepNext w:val="0"/>
              <w:keepLines w:val="0"/>
              <w:numPr>
                <w:ilvl w:val="0"/>
                <w:numId w:val="14"/>
              </w:numPr>
              <w:suppressLineNumbers w:val="0"/>
              <w:spacing w:before="0" w:beforeAutospacing="0" w:after="0" w:afterAutospacing="0"/>
              <w:ind w:left="480" w:right="0" w:hanging="480" w:hangingChars="20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支持预警管理功能，包括但不限于样本冻融次数、库存管理、项目期限、高传染性病种预警。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pStyle w:val="10"/>
              <w:keepNext w:val="0"/>
              <w:keepLines w:val="0"/>
              <w:numPr>
                <w:ilvl w:val="0"/>
                <w:numId w:val="1"/>
              </w:numPr>
              <w:suppressLineNumbers w:val="0"/>
              <w:spacing w:before="0" w:beforeAutospacing="0" w:after="0" w:afterAutospacing="0"/>
              <w:ind w:left="0" w:right="0" w:hanging="125" w:firstLineChars="0"/>
              <w:jc w:val="center"/>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交付</w:t>
            </w:r>
            <w:r>
              <w:rPr>
                <w:rFonts w:hint="default" w:asciiTheme="minorEastAsia" w:hAnsiTheme="minorEastAsia" w:eastAsiaTheme="minorEastAsia" w:cstheme="minorBidi"/>
                <w:sz w:val="24"/>
              </w:rPr>
              <w:t>件要求</w:t>
            </w:r>
          </w:p>
        </w:tc>
        <w:tc>
          <w:tcPr>
            <w:tcW w:w="7436" w:type="dxa"/>
          </w:tcPr>
          <w:p>
            <w:pPr>
              <w:pStyle w:val="11"/>
              <w:keepNext w:val="0"/>
              <w:keepLines w:val="0"/>
              <w:numPr>
                <w:ilvl w:val="0"/>
                <w:numId w:val="15"/>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default" w:asciiTheme="minorEastAsia" w:hAnsiTheme="minorEastAsia" w:eastAsiaTheme="minorEastAsia" w:cstheme="minorBidi"/>
                <w:sz w:val="24"/>
              </w:rPr>
              <w:t>提供项目建设方案，包含系统部署的架构图、拓扑图、硬件配置清单（包含但不限于服务器数量、操作系统、CPU、内存、存储容量、数据库版本）等</w:t>
            </w:r>
            <w:r>
              <w:rPr>
                <w:rFonts w:hint="eastAsia" w:asciiTheme="minorEastAsia" w:hAnsiTheme="minorEastAsia" w:eastAsiaTheme="minorEastAsia" w:cstheme="minorBidi"/>
                <w:sz w:val="24"/>
              </w:rPr>
              <w:t>。</w:t>
            </w:r>
          </w:p>
          <w:p>
            <w:pPr>
              <w:pStyle w:val="11"/>
              <w:keepNext w:val="0"/>
              <w:keepLines w:val="0"/>
              <w:numPr>
                <w:ilvl w:val="0"/>
                <w:numId w:val="15"/>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default" w:asciiTheme="minorEastAsia" w:hAnsiTheme="minorEastAsia" w:eastAsiaTheme="minorEastAsia" w:cstheme="minorBidi"/>
                <w:sz w:val="24"/>
              </w:rPr>
              <w:t>提供项目工作说明书（SOW）、需求规格说明书、涉及二次开发的接口说明书、项目主体计划、开发明细计划、需交付的代码QC报告、项目验收报告等</w:t>
            </w:r>
            <w:r>
              <w:rPr>
                <w:rFonts w:hint="eastAsia" w:asciiTheme="minorEastAsia" w:hAnsiTheme="minorEastAsia" w:eastAsiaTheme="minorEastAsia" w:cstheme="minorBidi"/>
                <w:sz w:val="24"/>
              </w:rPr>
              <w:t>。</w:t>
            </w:r>
          </w:p>
          <w:p>
            <w:pPr>
              <w:pStyle w:val="11"/>
              <w:keepNext w:val="0"/>
              <w:keepLines w:val="0"/>
              <w:numPr>
                <w:ilvl w:val="0"/>
                <w:numId w:val="15"/>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default" w:asciiTheme="minorEastAsia" w:hAnsiTheme="minorEastAsia" w:eastAsiaTheme="minorEastAsia" w:cstheme="minorBidi"/>
                <w:sz w:val="24"/>
              </w:rPr>
              <w:t>提供项目管理文档、培训文档，包含但不限于项目计划、周报、培训方案、培训演示文稿、系统操作手册、系统配置手册、系统部署手册</w:t>
            </w:r>
            <w:r>
              <w:rPr>
                <w:rFonts w:hint="eastAsia" w:asciiTheme="minorEastAsia" w:hAnsiTheme="minorEastAsia" w:eastAsiaTheme="minorEastAsia" w:cstheme="minorBidi"/>
                <w:sz w:val="24"/>
              </w:rPr>
              <w:t>。</w:t>
            </w:r>
          </w:p>
          <w:p>
            <w:pPr>
              <w:pStyle w:val="11"/>
              <w:keepNext w:val="0"/>
              <w:keepLines w:val="0"/>
              <w:numPr>
                <w:ilvl w:val="0"/>
                <w:numId w:val="15"/>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lang w:val="en-US" w:eastAsia="zh-CN"/>
              </w:rPr>
              <w:t>提供软件系统概要设计、表结构说明、数据库用户及密码。</w:t>
            </w:r>
          </w:p>
          <w:p>
            <w:pPr>
              <w:pStyle w:val="11"/>
              <w:keepNext w:val="0"/>
              <w:keepLines w:val="0"/>
              <w:numPr>
                <w:ilvl w:val="0"/>
                <w:numId w:val="15"/>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default" w:asciiTheme="minorEastAsia" w:hAnsiTheme="minorEastAsia" w:eastAsiaTheme="minorEastAsia" w:cstheme="minorBidi"/>
                <w:sz w:val="24"/>
              </w:rPr>
              <w:t>提供测试用例、测试计划，在招标人标准测试环境进行集成测试、功能测试、性能测试、安全测试，并出具相应的测试报告</w:t>
            </w:r>
            <w:r>
              <w:rPr>
                <w:rFonts w:hint="eastAsia" w:asciiTheme="minorEastAsia" w:hAnsiTheme="minorEastAsia" w:eastAsiaTheme="minorEastAsia" w:cstheme="minorBidi"/>
                <w:sz w:val="24"/>
              </w:rPr>
              <w:t>。</w:t>
            </w:r>
          </w:p>
          <w:p>
            <w:pPr>
              <w:pStyle w:val="11"/>
              <w:keepNext w:val="0"/>
              <w:keepLines w:val="0"/>
              <w:numPr>
                <w:ilvl w:val="0"/>
                <w:numId w:val="15"/>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default" w:asciiTheme="minorEastAsia" w:hAnsiTheme="minorEastAsia" w:eastAsiaTheme="minorEastAsia" w:cstheme="minorBidi"/>
                <w:sz w:val="24"/>
              </w:rPr>
              <w:t>提供中标人项目组成员明细表及上线部署正式告知邮件（说明部署内容、部署时间、注意事项等）</w:t>
            </w:r>
            <w:r>
              <w:rPr>
                <w:rFonts w:hint="eastAsia" w:asciiTheme="minorEastAsia" w:hAnsiTheme="minorEastAsia" w:eastAsiaTheme="minorEastAsia" w:cstheme="minorBidi"/>
                <w:sz w:val="24"/>
              </w:rPr>
              <w:t>。</w:t>
            </w:r>
          </w:p>
          <w:p>
            <w:pPr>
              <w:pStyle w:val="11"/>
              <w:keepNext w:val="0"/>
              <w:keepLines w:val="0"/>
              <w:numPr>
                <w:ilvl w:val="0"/>
                <w:numId w:val="15"/>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default" w:asciiTheme="minorEastAsia" w:hAnsiTheme="minorEastAsia" w:eastAsiaTheme="minorEastAsia" w:cstheme="minorBidi"/>
                <w:sz w:val="24"/>
              </w:rPr>
              <w:t>提供历史数据迁移及查询方案</w:t>
            </w:r>
            <w:r>
              <w:rPr>
                <w:rFonts w:hint="eastAsia" w:asciiTheme="minorEastAsia" w:hAnsiTheme="minorEastAsia" w:eastAsiaTheme="minorEastAsia" w:cstheme="minorBidi"/>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pStyle w:val="10"/>
              <w:keepNext w:val="0"/>
              <w:keepLines w:val="0"/>
              <w:numPr>
                <w:ilvl w:val="0"/>
                <w:numId w:val="1"/>
              </w:numPr>
              <w:suppressLineNumbers w:val="0"/>
              <w:spacing w:before="0" w:beforeAutospacing="0" w:after="0" w:afterAutospacing="0"/>
              <w:ind w:left="0" w:right="0" w:hanging="125" w:firstLineChars="0"/>
              <w:jc w:val="center"/>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软件</w:t>
            </w:r>
            <w:r>
              <w:rPr>
                <w:rFonts w:hint="default" w:asciiTheme="minorEastAsia" w:hAnsiTheme="minorEastAsia" w:eastAsiaTheme="minorEastAsia" w:cstheme="minorBidi"/>
                <w:sz w:val="24"/>
              </w:rPr>
              <w:t>升级</w:t>
            </w:r>
          </w:p>
        </w:tc>
        <w:tc>
          <w:tcPr>
            <w:tcW w:w="7436" w:type="dxa"/>
          </w:tcPr>
          <w:p>
            <w:pPr>
              <w:pStyle w:val="11"/>
              <w:keepNext w:val="0"/>
              <w:keepLines w:val="0"/>
              <w:numPr>
                <w:ilvl w:val="0"/>
                <w:numId w:val="16"/>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default" w:asciiTheme="minorEastAsia" w:hAnsiTheme="minorEastAsia" w:eastAsiaTheme="minorEastAsia" w:cstheme="minorBidi"/>
                <w:sz w:val="24"/>
              </w:rPr>
              <w:t>厂商安装在服务器</w:t>
            </w:r>
            <w:r>
              <w:rPr>
                <w:rFonts w:hint="eastAsia" w:asciiTheme="minorEastAsia" w:hAnsiTheme="minorEastAsia" w:eastAsiaTheme="minorEastAsia" w:cstheme="minorBidi"/>
                <w:sz w:val="24"/>
              </w:rPr>
              <w:t>上的信息系统</w:t>
            </w:r>
            <w:r>
              <w:rPr>
                <w:rFonts w:hint="default" w:asciiTheme="minorEastAsia" w:hAnsiTheme="minorEastAsia" w:eastAsiaTheme="minorEastAsia" w:cstheme="minorBidi"/>
                <w:sz w:val="24"/>
              </w:rPr>
              <w:t>软件、数据库</w:t>
            </w:r>
            <w:r>
              <w:rPr>
                <w:rFonts w:hint="eastAsia" w:asciiTheme="minorEastAsia" w:hAnsiTheme="minorEastAsia" w:eastAsiaTheme="minorEastAsia" w:cstheme="minorBidi"/>
                <w:sz w:val="24"/>
              </w:rPr>
              <w:t>、</w:t>
            </w:r>
            <w:r>
              <w:rPr>
                <w:rFonts w:hint="default" w:asciiTheme="minorEastAsia" w:hAnsiTheme="minorEastAsia" w:eastAsiaTheme="minorEastAsia" w:cstheme="minorBidi"/>
                <w:sz w:val="24"/>
              </w:rPr>
              <w:t>操作系统等</w:t>
            </w:r>
            <w:r>
              <w:rPr>
                <w:rFonts w:hint="eastAsia" w:asciiTheme="minorEastAsia" w:hAnsiTheme="minorEastAsia" w:eastAsiaTheme="minorEastAsia" w:cstheme="minorBidi"/>
                <w:sz w:val="24"/>
              </w:rPr>
              <w:t>需</w:t>
            </w:r>
            <w:r>
              <w:rPr>
                <w:rFonts w:hint="default" w:asciiTheme="minorEastAsia" w:hAnsiTheme="minorEastAsia" w:eastAsiaTheme="minorEastAsia" w:cstheme="minorBidi"/>
                <w:sz w:val="24"/>
              </w:rPr>
              <w:t>提供正版授权</w:t>
            </w:r>
            <w:r>
              <w:rPr>
                <w:rFonts w:hint="eastAsia" w:asciiTheme="minorEastAsia" w:hAnsiTheme="minorEastAsia" w:eastAsiaTheme="minorEastAsia" w:cstheme="minorBidi"/>
                <w:sz w:val="24"/>
              </w:rPr>
              <w:t>。</w:t>
            </w:r>
          </w:p>
          <w:p>
            <w:pPr>
              <w:pStyle w:val="11"/>
              <w:keepNext w:val="0"/>
              <w:keepLines w:val="0"/>
              <w:numPr>
                <w:ilvl w:val="0"/>
                <w:numId w:val="16"/>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default" w:asciiTheme="minorEastAsia" w:hAnsiTheme="minorEastAsia" w:eastAsiaTheme="minorEastAsia" w:cstheme="minorBidi"/>
                <w:sz w:val="24"/>
              </w:rPr>
              <w:t>可根据</w:t>
            </w:r>
            <w:r>
              <w:rPr>
                <w:rFonts w:hint="eastAsia" w:asciiTheme="minorEastAsia" w:hAnsiTheme="minorEastAsia" w:eastAsiaTheme="minorEastAsia" w:cstheme="minorBidi"/>
                <w:sz w:val="24"/>
              </w:rPr>
              <w:t>业务</w:t>
            </w:r>
            <w:r>
              <w:rPr>
                <w:rFonts w:hint="default" w:asciiTheme="minorEastAsia" w:hAnsiTheme="minorEastAsia" w:eastAsiaTheme="minorEastAsia" w:cstheme="minorBidi"/>
                <w:sz w:val="24"/>
              </w:rPr>
              <w:t>人员需求</w:t>
            </w:r>
            <w:r>
              <w:rPr>
                <w:rFonts w:hint="eastAsia" w:asciiTheme="minorEastAsia" w:hAnsiTheme="minorEastAsia" w:eastAsiaTheme="minorEastAsia" w:cstheme="minorBidi"/>
                <w:sz w:val="24"/>
              </w:rPr>
              <w:t>，</w:t>
            </w:r>
            <w:r>
              <w:rPr>
                <w:rFonts w:hint="default" w:asciiTheme="minorEastAsia" w:hAnsiTheme="minorEastAsia" w:eastAsiaTheme="minorEastAsia" w:cstheme="minorBidi"/>
                <w:sz w:val="24"/>
              </w:rPr>
              <w:t>定制化修改或开发相关功能</w:t>
            </w:r>
            <w:r>
              <w:rPr>
                <w:rFonts w:hint="eastAsia" w:asciiTheme="minorEastAsia" w:hAnsiTheme="minorEastAsia" w:eastAsiaTheme="minorEastAsia" w:cstheme="minorBidi"/>
                <w:sz w:val="24"/>
              </w:rPr>
              <w:t>。</w:t>
            </w:r>
          </w:p>
          <w:p>
            <w:pPr>
              <w:pStyle w:val="11"/>
              <w:keepNext w:val="0"/>
              <w:keepLines w:val="0"/>
              <w:numPr>
                <w:ilvl w:val="0"/>
                <w:numId w:val="16"/>
              </w:numPr>
              <w:suppressLineNumbers w:val="0"/>
              <w:spacing w:before="0" w:beforeAutospacing="0" w:after="0" w:afterAutospacing="0"/>
              <w:ind w:right="0" w:firstLineChars="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在合同期和维保</w:t>
            </w:r>
            <w:r>
              <w:rPr>
                <w:rFonts w:hint="default" w:asciiTheme="minorEastAsia" w:hAnsiTheme="minorEastAsia" w:eastAsiaTheme="minorEastAsia" w:cstheme="minorBidi"/>
                <w:sz w:val="24"/>
              </w:rPr>
              <w:t>期内</w:t>
            </w:r>
            <w:r>
              <w:rPr>
                <w:rFonts w:hint="eastAsia" w:asciiTheme="minorEastAsia" w:hAnsiTheme="minorEastAsia" w:eastAsiaTheme="minorEastAsia" w:cstheme="minorBidi"/>
                <w:sz w:val="24"/>
              </w:rPr>
              <w:t>，产品</w:t>
            </w:r>
            <w:r>
              <w:rPr>
                <w:rFonts w:hint="default" w:asciiTheme="minorEastAsia" w:hAnsiTheme="minorEastAsia" w:eastAsiaTheme="minorEastAsia" w:cstheme="minorBidi"/>
                <w:sz w:val="24"/>
              </w:rPr>
              <w:t>可</w:t>
            </w:r>
            <w:r>
              <w:rPr>
                <w:rFonts w:hint="eastAsia" w:asciiTheme="minorEastAsia" w:hAnsiTheme="minorEastAsia" w:eastAsiaTheme="minorEastAsia" w:cstheme="minorBidi"/>
                <w:sz w:val="24"/>
              </w:rPr>
              <w:t>免费</w:t>
            </w:r>
            <w:r>
              <w:rPr>
                <w:rFonts w:hint="default" w:asciiTheme="minorEastAsia" w:hAnsiTheme="minorEastAsia" w:eastAsiaTheme="minorEastAsia" w:cstheme="minorBidi"/>
                <w:sz w:val="24"/>
              </w:rPr>
              <w:t>升级功能版本</w:t>
            </w:r>
            <w:r>
              <w:rPr>
                <w:rFonts w:hint="eastAsia" w:asciiTheme="minorEastAsia" w:hAnsiTheme="minorEastAsia" w:eastAsiaTheme="minorEastAsia" w:cstheme="minorBidi"/>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pStyle w:val="10"/>
              <w:keepNext w:val="0"/>
              <w:keepLines w:val="0"/>
              <w:numPr>
                <w:ilvl w:val="0"/>
                <w:numId w:val="1"/>
              </w:numPr>
              <w:suppressLineNumbers w:val="0"/>
              <w:spacing w:before="0" w:beforeAutospacing="0" w:after="0" w:afterAutospacing="0"/>
              <w:ind w:left="0" w:right="0" w:hanging="125" w:firstLineChars="0"/>
              <w:jc w:val="center"/>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运维保障</w:t>
            </w:r>
          </w:p>
        </w:tc>
        <w:tc>
          <w:tcPr>
            <w:tcW w:w="7436" w:type="dxa"/>
          </w:tcPr>
          <w:p>
            <w:pPr>
              <w:pStyle w:val="11"/>
              <w:keepNext w:val="0"/>
              <w:keepLines w:val="0"/>
              <w:numPr>
                <w:ilvl w:val="0"/>
                <w:numId w:val="17"/>
              </w:numPr>
              <w:suppressLineNumbers w:val="0"/>
              <w:spacing w:before="0" w:beforeAutospacing="0" w:after="0" w:afterAutospacing="0"/>
              <w:ind w:left="454" w:right="0" w:hanging="453" w:hangingChars="189"/>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若系统</w:t>
            </w:r>
            <w:r>
              <w:rPr>
                <w:rFonts w:hint="default" w:asciiTheme="minorEastAsia" w:hAnsiTheme="minorEastAsia" w:eastAsiaTheme="minorEastAsia" w:cstheme="minorBidi"/>
                <w:sz w:val="24"/>
              </w:rPr>
              <w:t>出现异常，则需</w:t>
            </w:r>
            <w:r>
              <w:rPr>
                <w:rFonts w:hint="eastAsia" w:asciiTheme="minorEastAsia" w:hAnsiTheme="minorEastAsia" w:eastAsiaTheme="minorEastAsia" w:cstheme="minorBidi"/>
                <w:sz w:val="24"/>
              </w:rPr>
              <w:t>按</w:t>
            </w:r>
            <w:r>
              <w:rPr>
                <w:rFonts w:hint="default" w:asciiTheme="minorEastAsia" w:hAnsiTheme="minorEastAsia" w:eastAsiaTheme="minorEastAsia" w:cstheme="minorBidi"/>
                <w:sz w:val="24"/>
              </w:rPr>
              <w:t>院方要求</w:t>
            </w:r>
            <w:r>
              <w:rPr>
                <w:rFonts w:hint="eastAsia" w:asciiTheme="minorEastAsia" w:hAnsiTheme="minorEastAsia" w:eastAsiaTheme="minorEastAsia" w:cstheme="minorBidi"/>
                <w:sz w:val="24"/>
              </w:rPr>
              <w:t>时</w:t>
            </w:r>
            <w:r>
              <w:rPr>
                <w:rFonts w:hint="default" w:asciiTheme="minorEastAsia" w:hAnsiTheme="minorEastAsia" w:eastAsiaTheme="minorEastAsia" w:cstheme="minorBidi"/>
                <w:sz w:val="24"/>
              </w:rPr>
              <w:t>效解决问题</w:t>
            </w:r>
            <w:r>
              <w:rPr>
                <w:rFonts w:hint="eastAsia" w:asciiTheme="minorEastAsia" w:hAnsiTheme="minorEastAsia" w:eastAsiaTheme="minorEastAsia" w:cstheme="minorBidi"/>
                <w:sz w:val="24"/>
                <w:lang w:eastAsia="zh-CN"/>
              </w:rPr>
              <w:t>。</w:t>
            </w:r>
          </w:p>
          <w:p>
            <w:pPr>
              <w:pStyle w:val="11"/>
              <w:keepNext w:val="0"/>
              <w:keepLines w:val="0"/>
              <w:numPr>
                <w:ilvl w:val="0"/>
                <w:numId w:val="17"/>
              </w:numPr>
              <w:suppressLineNumbers w:val="0"/>
              <w:spacing w:before="0" w:beforeAutospacing="0" w:after="0" w:afterAutospacing="0"/>
              <w:ind w:left="480" w:right="0" w:hanging="480" w:hangingChars="200"/>
              <w:rPr>
                <w:rFonts w:hint="default" w:asciiTheme="minorEastAsia" w:hAnsiTheme="minorEastAsia" w:eastAsiaTheme="minorEastAsia" w:cstheme="minorBidi"/>
                <w:sz w:val="24"/>
              </w:rPr>
            </w:pPr>
            <w:r>
              <w:rPr>
                <w:rFonts w:hint="eastAsia" w:asciiTheme="minorEastAsia" w:hAnsiTheme="minorEastAsia" w:eastAsiaTheme="minorEastAsia" w:cstheme="minorBidi"/>
                <w:sz w:val="24"/>
              </w:rPr>
              <w:t>提供</w:t>
            </w:r>
            <w:r>
              <w:rPr>
                <w:rFonts w:hint="default" w:asciiTheme="minorEastAsia" w:hAnsiTheme="minorEastAsia" w:eastAsiaTheme="minorEastAsia" w:cstheme="minorBidi"/>
                <w:sz w:val="24"/>
              </w:rPr>
              <w:t>软件</w:t>
            </w:r>
            <w:r>
              <w:rPr>
                <w:rFonts w:hint="eastAsia" w:asciiTheme="minorEastAsia" w:hAnsiTheme="minorEastAsia" w:eastAsiaTheme="minorEastAsia" w:cstheme="minorBidi"/>
                <w:sz w:val="24"/>
              </w:rPr>
              <w:t>、硬件</w:t>
            </w:r>
            <w:r>
              <w:rPr>
                <w:rFonts w:hint="default" w:asciiTheme="minorEastAsia" w:hAnsiTheme="minorEastAsia" w:eastAsiaTheme="minorEastAsia" w:cstheme="minorBidi"/>
                <w:sz w:val="24"/>
              </w:rPr>
              <w:t>三年内的免费维护。</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23C1"/>
    <w:multiLevelType w:val="multilevel"/>
    <w:tmpl w:val="026623C1"/>
    <w:lvl w:ilvl="0" w:tentative="0">
      <w:start w:val="1"/>
      <w:numFmt w:val="chineseCountingThousand"/>
      <w:lvlText w:val="(%1)"/>
      <w:lvlJc w:val="left"/>
      <w:pPr>
        <w:ind w:left="420" w:hanging="420"/>
      </w:pPr>
      <w:rPr>
        <w:rFonts w:hint="eastAsia"/>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49A3F16"/>
    <w:multiLevelType w:val="multilevel"/>
    <w:tmpl w:val="049A3F16"/>
    <w:lvl w:ilvl="0" w:tentative="0">
      <w:start w:val="1"/>
      <w:numFmt w:val="decimal"/>
      <w:lvlText w:val="%1."/>
      <w:lvlJc w:val="left"/>
      <w:pPr>
        <w:ind w:left="720" w:hanging="7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AA612D"/>
    <w:multiLevelType w:val="multilevel"/>
    <w:tmpl w:val="0EAA612D"/>
    <w:lvl w:ilvl="0" w:tentative="0">
      <w:start w:val="1"/>
      <w:numFmt w:val="decimal"/>
      <w:lvlText w:val="%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795D07"/>
    <w:multiLevelType w:val="multilevel"/>
    <w:tmpl w:val="16795D07"/>
    <w:lvl w:ilvl="0" w:tentative="0">
      <w:start w:val="1"/>
      <w:numFmt w:val="decimal"/>
      <w:lvlText w:val="%1."/>
      <w:lvlJc w:val="left"/>
      <w:pPr>
        <w:ind w:left="720" w:hanging="7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229498B"/>
    <w:multiLevelType w:val="multilevel"/>
    <w:tmpl w:val="2229498B"/>
    <w:lvl w:ilvl="0" w:tentative="0">
      <w:start w:val="1"/>
      <w:numFmt w:val="decimal"/>
      <w:lvlText w:val="%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2465D35"/>
    <w:multiLevelType w:val="multilevel"/>
    <w:tmpl w:val="32465D35"/>
    <w:lvl w:ilvl="0" w:tentative="0">
      <w:start w:val="1"/>
      <w:numFmt w:val="decimal"/>
      <w:lvlText w:val="%1."/>
      <w:lvlJc w:val="left"/>
      <w:pPr>
        <w:ind w:left="360" w:hanging="36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C1A827C"/>
    <w:multiLevelType w:val="multilevel"/>
    <w:tmpl w:val="3C1A827C"/>
    <w:lvl w:ilvl="0" w:tentative="0">
      <w:start w:val="1"/>
      <w:numFmt w:val="decimal"/>
      <w:lvlText w:val="%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E71F56"/>
    <w:multiLevelType w:val="multilevel"/>
    <w:tmpl w:val="44E71F56"/>
    <w:lvl w:ilvl="0" w:tentative="0">
      <w:start w:val="1"/>
      <w:numFmt w:val="decimal"/>
      <w:lvlText w:val="%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967201C"/>
    <w:multiLevelType w:val="multilevel"/>
    <w:tmpl w:val="5967201C"/>
    <w:lvl w:ilvl="0" w:tentative="0">
      <w:start w:val="1"/>
      <w:numFmt w:val="decimal"/>
      <w:lvlText w:val="%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AF6634D"/>
    <w:multiLevelType w:val="multilevel"/>
    <w:tmpl w:val="5AF6634D"/>
    <w:lvl w:ilvl="0" w:tentative="0">
      <w:start w:val="1"/>
      <w:numFmt w:val="decimal"/>
      <w:lvlText w:val="%1."/>
      <w:lvlJc w:val="left"/>
      <w:pPr>
        <w:ind w:left="386" w:hanging="420"/>
      </w:pPr>
      <w:rPr>
        <w:rFonts w:hint="default" w:ascii="Times New Roman" w:hAnsi="Times New Roman" w:eastAsia="宋体"/>
      </w:rPr>
    </w:lvl>
    <w:lvl w:ilvl="1" w:tentative="0">
      <w:start w:val="1"/>
      <w:numFmt w:val="lowerLetter"/>
      <w:lvlText w:val="%2)"/>
      <w:lvlJc w:val="left"/>
      <w:pPr>
        <w:ind w:left="806" w:hanging="420"/>
      </w:pPr>
    </w:lvl>
    <w:lvl w:ilvl="2" w:tentative="0">
      <w:start w:val="1"/>
      <w:numFmt w:val="lowerRoman"/>
      <w:lvlText w:val="%3."/>
      <w:lvlJc w:val="right"/>
      <w:pPr>
        <w:ind w:left="1226" w:hanging="420"/>
      </w:pPr>
    </w:lvl>
    <w:lvl w:ilvl="3" w:tentative="0">
      <w:start w:val="1"/>
      <w:numFmt w:val="decimal"/>
      <w:lvlText w:val="%4."/>
      <w:lvlJc w:val="left"/>
      <w:pPr>
        <w:ind w:left="1646" w:hanging="420"/>
      </w:pPr>
    </w:lvl>
    <w:lvl w:ilvl="4" w:tentative="0">
      <w:start w:val="1"/>
      <w:numFmt w:val="lowerLetter"/>
      <w:lvlText w:val="%5)"/>
      <w:lvlJc w:val="left"/>
      <w:pPr>
        <w:ind w:left="2066" w:hanging="420"/>
      </w:pPr>
    </w:lvl>
    <w:lvl w:ilvl="5" w:tentative="0">
      <w:start w:val="1"/>
      <w:numFmt w:val="lowerRoman"/>
      <w:lvlText w:val="%6."/>
      <w:lvlJc w:val="right"/>
      <w:pPr>
        <w:ind w:left="2486" w:hanging="420"/>
      </w:pPr>
    </w:lvl>
    <w:lvl w:ilvl="6" w:tentative="0">
      <w:start w:val="1"/>
      <w:numFmt w:val="decimal"/>
      <w:lvlText w:val="%7."/>
      <w:lvlJc w:val="left"/>
      <w:pPr>
        <w:ind w:left="2906" w:hanging="420"/>
      </w:pPr>
    </w:lvl>
    <w:lvl w:ilvl="7" w:tentative="0">
      <w:start w:val="1"/>
      <w:numFmt w:val="lowerLetter"/>
      <w:lvlText w:val="%8)"/>
      <w:lvlJc w:val="left"/>
      <w:pPr>
        <w:ind w:left="3326" w:hanging="420"/>
      </w:pPr>
    </w:lvl>
    <w:lvl w:ilvl="8" w:tentative="0">
      <w:start w:val="1"/>
      <w:numFmt w:val="lowerRoman"/>
      <w:lvlText w:val="%9."/>
      <w:lvlJc w:val="right"/>
      <w:pPr>
        <w:ind w:left="3746" w:hanging="420"/>
      </w:pPr>
    </w:lvl>
  </w:abstractNum>
  <w:abstractNum w:abstractNumId="10">
    <w:nsid w:val="5F5F0630"/>
    <w:multiLevelType w:val="multilevel"/>
    <w:tmpl w:val="5F5F0630"/>
    <w:lvl w:ilvl="0" w:tentative="0">
      <w:start w:val="1"/>
      <w:numFmt w:val="decimal"/>
      <w:lvlText w:val="%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F626474"/>
    <w:multiLevelType w:val="multilevel"/>
    <w:tmpl w:val="5F626474"/>
    <w:lvl w:ilvl="0" w:tentative="0">
      <w:start w:val="1"/>
      <w:numFmt w:val="decimal"/>
      <w:lvlText w:val="%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25B46D0"/>
    <w:multiLevelType w:val="multilevel"/>
    <w:tmpl w:val="625B46D0"/>
    <w:lvl w:ilvl="0" w:tentative="0">
      <w:start w:val="1"/>
      <w:numFmt w:val="decimal"/>
      <w:lvlText w:val="%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778493B"/>
    <w:multiLevelType w:val="multilevel"/>
    <w:tmpl w:val="6778493B"/>
    <w:lvl w:ilvl="0" w:tentative="0">
      <w:start w:val="1"/>
      <w:numFmt w:val="decimal"/>
      <w:lvlText w:val="%1."/>
      <w:lvlJc w:val="left"/>
      <w:pPr>
        <w:ind w:left="420" w:hanging="420"/>
      </w:pPr>
      <w:rPr>
        <w:rFonts w:hint="default" w:ascii="Times New Roman" w:hAnsi="Times New Roman" w:eastAsia="宋体"/>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7D11991"/>
    <w:multiLevelType w:val="multilevel"/>
    <w:tmpl w:val="67D11991"/>
    <w:lvl w:ilvl="0" w:tentative="0">
      <w:start w:val="1"/>
      <w:numFmt w:val="decimal"/>
      <w:lvlText w:val="%1."/>
      <w:lvlJc w:val="left"/>
      <w:pPr>
        <w:ind w:left="720" w:hanging="7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7B06BD5"/>
    <w:multiLevelType w:val="multilevel"/>
    <w:tmpl w:val="77B06BD5"/>
    <w:lvl w:ilvl="0" w:tentative="0">
      <w:start w:val="1"/>
      <w:numFmt w:val="decimal"/>
      <w:lvlText w:val="%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67EE54"/>
    <w:multiLevelType w:val="multilevel"/>
    <w:tmpl w:val="7867EE54"/>
    <w:lvl w:ilvl="0" w:tentative="0">
      <w:start w:val="1"/>
      <w:numFmt w:val="decimal"/>
      <w:lvlText w:val="%1."/>
      <w:lvlJc w:val="left"/>
      <w:pPr>
        <w:ind w:left="420" w:hanging="420"/>
      </w:pPr>
      <w:rPr>
        <w:rFonts w:hint="default" w:ascii="Times New Roman" w:hAnsi="Times New Roman" w:eastAsia="宋体"/>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4"/>
  </w:num>
  <w:num w:numId="4">
    <w:abstractNumId w:val="13"/>
  </w:num>
  <w:num w:numId="5">
    <w:abstractNumId w:val="7"/>
  </w:num>
  <w:num w:numId="6">
    <w:abstractNumId w:val="6"/>
  </w:num>
  <w:num w:numId="7">
    <w:abstractNumId w:val="10"/>
  </w:num>
  <w:num w:numId="8">
    <w:abstractNumId w:val="16"/>
  </w:num>
  <w:num w:numId="9">
    <w:abstractNumId w:val="2"/>
  </w:num>
  <w:num w:numId="10">
    <w:abstractNumId w:val="12"/>
  </w:num>
  <w:num w:numId="11">
    <w:abstractNumId w:val="11"/>
  </w:num>
  <w:num w:numId="12">
    <w:abstractNumId w:val="9"/>
  </w:num>
  <w:num w:numId="13">
    <w:abstractNumId w:val="1"/>
  </w:num>
  <w:num w:numId="14">
    <w:abstractNumId w:val="14"/>
  </w:num>
  <w:num w:numId="15">
    <w:abstractNumId w:val="15"/>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820CF3"/>
    <w:rsid w:val="016D0C58"/>
    <w:rsid w:val="049166B6"/>
    <w:rsid w:val="050A2E7B"/>
    <w:rsid w:val="0A111EB4"/>
    <w:rsid w:val="0A39135E"/>
    <w:rsid w:val="0B615391"/>
    <w:rsid w:val="0C0878FF"/>
    <w:rsid w:val="0FFC5375"/>
    <w:rsid w:val="105572BB"/>
    <w:rsid w:val="11B35699"/>
    <w:rsid w:val="12882372"/>
    <w:rsid w:val="14741830"/>
    <w:rsid w:val="15DC5039"/>
    <w:rsid w:val="1A99387D"/>
    <w:rsid w:val="1B2E5A02"/>
    <w:rsid w:val="1B40635F"/>
    <w:rsid w:val="1BA8283F"/>
    <w:rsid w:val="1D443BC8"/>
    <w:rsid w:val="1F135D14"/>
    <w:rsid w:val="21ED5486"/>
    <w:rsid w:val="22820CF3"/>
    <w:rsid w:val="240909D0"/>
    <w:rsid w:val="278142D9"/>
    <w:rsid w:val="2A3B5A06"/>
    <w:rsid w:val="2BAE5F96"/>
    <w:rsid w:val="2C1D3A89"/>
    <w:rsid w:val="2C6E204E"/>
    <w:rsid w:val="2F652A7E"/>
    <w:rsid w:val="31022CE9"/>
    <w:rsid w:val="321118D6"/>
    <w:rsid w:val="378F5B60"/>
    <w:rsid w:val="37A56918"/>
    <w:rsid w:val="3A1E4807"/>
    <w:rsid w:val="3DBC3523"/>
    <w:rsid w:val="41F34DB8"/>
    <w:rsid w:val="429D253E"/>
    <w:rsid w:val="445A7587"/>
    <w:rsid w:val="46013735"/>
    <w:rsid w:val="46C615C7"/>
    <w:rsid w:val="4A7F198F"/>
    <w:rsid w:val="4CB24426"/>
    <w:rsid w:val="4F4254B1"/>
    <w:rsid w:val="514B5B73"/>
    <w:rsid w:val="53A17F52"/>
    <w:rsid w:val="54CA1D49"/>
    <w:rsid w:val="54CA22A0"/>
    <w:rsid w:val="56C17104"/>
    <w:rsid w:val="589C5E2F"/>
    <w:rsid w:val="59AF4E1A"/>
    <w:rsid w:val="5B9E7261"/>
    <w:rsid w:val="5CAC22BD"/>
    <w:rsid w:val="5E526A31"/>
    <w:rsid w:val="5E9238CA"/>
    <w:rsid w:val="62BA618E"/>
    <w:rsid w:val="68F54881"/>
    <w:rsid w:val="69C91708"/>
    <w:rsid w:val="6B1D673F"/>
    <w:rsid w:val="6DBE56D2"/>
    <w:rsid w:val="71805D7B"/>
    <w:rsid w:val="74C137DC"/>
    <w:rsid w:val="768B2A40"/>
    <w:rsid w:val="78021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link w:val="13"/>
    <w:qFormat/>
    <w:uiPriority w:val="1"/>
    <w:pPr>
      <w:autoSpaceDE w:val="0"/>
      <w:autoSpaceDN w:val="0"/>
      <w:jc w:val="left"/>
    </w:pPr>
    <w:rPr>
      <w:rFonts w:ascii="Noto Sans CJK JP Regular" w:hAnsi="Noto Sans CJK JP Regular" w:eastAsia="Times New Roman" w:cs="Noto Sans CJK JP Regular"/>
      <w:kern w:val="0"/>
      <w:sz w:val="24"/>
      <w:lang w:val="zh-CN"/>
    </w:rPr>
  </w:style>
  <w:style w:type="paragraph" w:styleId="5">
    <w:name w:val="footer"/>
    <w:basedOn w:val="1"/>
    <w:link w:val="14"/>
    <w:qFormat/>
    <w:uiPriority w:val="0"/>
    <w:pPr>
      <w:tabs>
        <w:tab w:val="center" w:pos="4153"/>
        <w:tab w:val="right" w:pos="8306"/>
      </w:tabs>
      <w:snapToGrid w:val="0"/>
      <w:jc w:val="left"/>
    </w:pPr>
    <w:rPr>
      <w:sz w:val="18"/>
    </w:rPr>
  </w:style>
  <w:style w:type="paragraph" w:styleId="6">
    <w:name w:val="header"/>
    <w:basedOn w:val="1"/>
    <w:link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paragraph" w:customStyle="1" w:styleId="11">
    <w:name w:val="列表段落1"/>
    <w:basedOn w:val="1"/>
    <w:qFormat/>
    <w:uiPriority w:val="34"/>
    <w:pPr>
      <w:ind w:firstLine="420" w:firstLineChars="200"/>
    </w:pPr>
  </w:style>
  <w:style w:type="character" w:customStyle="1" w:styleId="12">
    <w:name w:val="页眉 Char"/>
    <w:basedOn w:val="9"/>
    <w:link w:val="6"/>
    <w:qFormat/>
    <w:uiPriority w:val="0"/>
    <w:rPr>
      <w:kern w:val="2"/>
      <w:sz w:val="18"/>
      <w:szCs w:val="18"/>
    </w:rPr>
  </w:style>
  <w:style w:type="character" w:customStyle="1" w:styleId="13">
    <w:name w:val="正文文本 Char"/>
    <w:basedOn w:val="9"/>
    <w:link w:val="2"/>
    <w:qFormat/>
    <w:uiPriority w:val="0"/>
    <w:rPr>
      <w:kern w:val="2"/>
      <w:sz w:val="21"/>
      <w:szCs w:val="24"/>
    </w:rPr>
  </w:style>
  <w:style w:type="character" w:customStyle="1" w:styleId="14">
    <w:name w:val="页脚 Char"/>
    <w:basedOn w:val="9"/>
    <w:link w:val="5"/>
    <w:qFormat/>
    <w:uiPriority w:val="0"/>
    <w:rPr>
      <w:kern w:val="2"/>
      <w:sz w:val="18"/>
      <w:szCs w:val="18"/>
    </w:rPr>
  </w:style>
  <w:style w:type="character" w:customStyle="1" w:styleId="15">
    <w:name w:val="标题 1 Char"/>
    <w:basedOn w:val="9"/>
    <w:link w:val="3"/>
    <w:uiPriority w:val="0"/>
    <w:rPr>
      <w:b/>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6256</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2021-09-17T05:58:00Z</dcterms:created>
  <dc:creator>Administrator</dc:creator>
  <cp:lastModifiedBy>Administrator</cp:lastModifiedBy>
  <cp:lastPrinted>2021-10-26T02:44:59Z</cp:lastPrinted>
  <dcterms:modified xsi:type="dcterms:W3CDTF">2021-10-28T00:24:31Z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