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宋体" w:hAnsi="宋体" w:eastAsia="宋体" w:cs="宋体"/>
          <w:b/>
          <w:bCs/>
          <w:sz w:val="24"/>
          <w:szCs w:val="28"/>
        </w:rPr>
      </w:pPr>
      <w:r>
        <w:rPr>
          <w:rFonts w:hint="eastAsia" w:ascii="宋体" w:hAnsi="宋体" w:eastAsia="宋体" w:cs="宋体"/>
          <w:b/>
          <w:bCs/>
          <w:sz w:val="24"/>
          <w:szCs w:val="28"/>
        </w:rPr>
        <w:t>1.放疗信息系统云化平台</w:t>
      </w:r>
    </w:p>
    <w:tbl>
      <w:tblPr>
        <w:tblStyle w:val="9"/>
        <w:tblpPr w:leftFromText="180" w:rightFromText="180" w:horzAnchor="margin" w:tblpY="615"/>
        <w:tblW w:w="92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275"/>
        <w:gridCol w:w="6379"/>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tcPr>
          <w:p>
            <w:pPr>
              <w:jc w:val="center"/>
              <w:rPr>
                <w:rFonts w:ascii="宋体" w:hAnsi="宋体" w:eastAsia="宋体"/>
              </w:rPr>
            </w:pPr>
            <w:r>
              <w:rPr>
                <w:rFonts w:hint="eastAsia" w:ascii="宋体" w:hAnsi="宋体" w:eastAsia="宋体"/>
              </w:rPr>
              <w:t>序号</w:t>
            </w:r>
          </w:p>
        </w:tc>
        <w:tc>
          <w:tcPr>
            <w:tcW w:w="1275" w:type="dxa"/>
          </w:tcPr>
          <w:p>
            <w:pPr>
              <w:jc w:val="center"/>
              <w:rPr>
                <w:rFonts w:ascii="宋体" w:hAnsi="宋体" w:eastAsia="宋体"/>
              </w:rPr>
            </w:pPr>
            <w:r>
              <w:rPr>
                <w:rFonts w:hint="eastAsia" w:ascii="宋体" w:hAnsi="宋体" w:eastAsia="宋体"/>
              </w:rPr>
              <w:t>模块</w:t>
            </w:r>
          </w:p>
        </w:tc>
        <w:tc>
          <w:tcPr>
            <w:tcW w:w="6379" w:type="dxa"/>
          </w:tcPr>
          <w:p>
            <w:pPr>
              <w:jc w:val="center"/>
              <w:rPr>
                <w:rFonts w:ascii="宋体" w:hAnsi="宋体" w:eastAsia="宋体"/>
              </w:rPr>
            </w:pPr>
            <w:r>
              <w:rPr>
                <w:rFonts w:hint="eastAsia" w:ascii="宋体" w:hAnsi="宋体" w:eastAsia="宋体"/>
              </w:rPr>
              <w:t>功能详细</w:t>
            </w:r>
          </w:p>
        </w:tc>
        <w:tc>
          <w:tcPr>
            <w:tcW w:w="851" w:type="dxa"/>
          </w:tcPr>
          <w:p>
            <w:pPr>
              <w:jc w:val="center"/>
              <w:rPr>
                <w:rFonts w:ascii="宋体" w:hAnsi="宋体" w:eastAsia="宋体"/>
              </w:rPr>
            </w:pPr>
            <w:r>
              <w:rPr>
                <w:rFonts w:hint="eastAsia" w:ascii="宋体" w:hAnsi="宋体" w:eastAsia="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jc w:val="center"/>
              <w:rPr>
                <w:rFonts w:ascii="宋体" w:hAnsi="宋体" w:eastAsia="宋体"/>
              </w:rPr>
            </w:pPr>
            <w:r>
              <w:rPr>
                <w:rFonts w:ascii="宋体" w:hAnsi="宋体" w:eastAsia="宋体"/>
              </w:rPr>
              <w:t>1</w:t>
            </w:r>
          </w:p>
        </w:tc>
        <w:tc>
          <w:tcPr>
            <w:tcW w:w="1275" w:type="dxa"/>
            <w:vAlign w:val="center"/>
          </w:tcPr>
          <w:p>
            <w:pPr>
              <w:pStyle w:val="14"/>
              <w:rPr>
                <w:rFonts w:hint="default" w:ascii="宋体" w:hAnsi="宋体" w:eastAsia="宋体" w:cs="仿宋_GB2312"/>
                <w:b/>
                <w:bCs/>
                <w:lang w:val="zh-TW" w:eastAsia="zh-TW"/>
              </w:rPr>
            </w:pPr>
            <w:r>
              <w:rPr>
                <w:rFonts w:ascii="宋体" w:hAnsi="宋体" w:eastAsia="宋体" w:cs="仿宋_GB2312"/>
                <w:lang w:val="zh-TW" w:eastAsia="zh-TW"/>
              </w:rPr>
              <w:t>平台系统</w:t>
            </w:r>
          </w:p>
        </w:tc>
        <w:tc>
          <w:tcPr>
            <w:tcW w:w="6379" w:type="dxa"/>
          </w:tcPr>
          <w:p>
            <w:pPr>
              <w:pStyle w:val="12"/>
              <w:numPr>
                <w:ilvl w:val="0"/>
                <w:numId w:val="1"/>
              </w:numPr>
              <w:ind w:firstLineChars="0"/>
              <w:jc w:val="left"/>
              <w:rPr>
                <w:rFonts w:asciiTheme="minorEastAsia" w:hAnsiTheme="minorEastAsia"/>
                <w:szCs w:val="21"/>
              </w:rPr>
            </w:pPr>
            <w:r>
              <w:rPr>
                <w:rFonts w:ascii="宋体" w:hAnsi="宋体" w:eastAsia="宋体" w:cs="仿宋_GB2312"/>
                <w:lang w:val="zh-TW" w:eastAsia="zh-TW"/>
              </w:rPr>
              <w:t>客户端</w:t>
            </w:r>
            <w:r>
              <w:rPr>
                <w:rFonts w:hint="eastAsia" w:ascii="宋体" w:hAnsi="宋体" w:eastAsia="宋体" w:cs="仿宋_GB2312"/>
                <w:lang w:val="zh-TW"/>
              </w:rPr>
              <w:t>需</w:t>
            </w:r>
            <w:r>
              <w:rPr>
                <w:rFonts w:ascii="宋体" w:hAnsi="宋体" w:eastAsia="宋体" w:cs="仿宋_GB2312"/>
                <w:lang w:val="zh-TW" w:eastAsia="zh-TW"/>
              </w:rPr>
              <w:t>支持目前通用的各类操作系统环境，包括Windows，Android、Mac和iOS主流操作系统。</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具备阻断授权客户端工作站病毒传播至计划系统和信息系统服务器能力，防止病毒破坏放疗计划和信息系统，并且保证放疗数据的完整性和安</w:t>
            </w:r>
            <w:bookmarkStart w:id="0" w:name="_GoBack"/>
            <w:bookmarkEnd w:id="0"/>
            <w:r>
              <w:rPr>
                <w:rFonts w:ascii="宋体" w:hAnsi="宋体" w:eastAsia="宋体" w:cs="仿宋_GB2312"/>
                <w:lang w:val="zh-TW"/>
              </w:rPr>
              <w:t>全性。</w:t>
            </w:r>
          </w:p>
          <w:p>
            <w:pPr>
              <w:pStyle w:val="12"/>
              <w:numPr>
                <w:ilvl w:val="0"/>
                <w:numId w:val="1"/>
              </w:numPr>
              <w:ind w:firstLineChars="0"/>
              <w:jc w:val="left"/>
              <w:rPr>
                <w:rFonts w:asciiTheme="minorEastAsia" w:hAnsiTheme="minorEastAsia"/>
                <w:szCs w:val="21"/>
              </w:rPr>
            </w:pPr>
            <w:r>
              <w:rPr>
                <w:rFonts w:hint="eastAsia" w:ascii="宋体" w:hAnsi="宋体" w:eastAsia="宋体" w:cs="仿宋_GB2312"/>
                <w:lang w:val="zh-TW"/>
              </w:rPr>
              <w:t>具备</w:t>
            </w:r>
            <w:r>
              <w:rPr>
                <w:rFonts w:ascii="宋体" w:hAnsi="宋体" w:eastAsia="宋体" w:cs="仿宋_GB2312"/>
                <w:lang w:val="zh-TW"/>
              </w:rPr>
              <w:t>放疗信息整合管理应用平台相关软件著作权。</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Web服务器支持主流浏览器客户端，如Edge，Chrome，Firefox，IE等。</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数据传输具备良好的压缩技术，在硬件资源较低或网络传输速度较低的情况下，仍能实现快速传输数据，客户端即时查看各类数据。</w:t>
            </w:r>
          </w:p>
          <w:p>
            <w:pPr>
              <w:pStyle w:val="12"/>
              <w:numPr>
                <w:ilvl w:val="0"/>
                <w:numId w:val="1"/>
              </w:numPr>
              <w:ind w:firstLineChars="0"/>
              <w:jc w:val="left"/>
              <w:rPr>
                <w:rFonts w:asciiTheme="minorEastAsia" w:hAnsiTheme="minorEastAsia"/>
                <w:szCs w:val="21"/>
              </w:rPr>
            </w:pPr>
            <w:r>
              <w:rPr>
                <w:rFonts w:ascii="宋体" w:hAnsi="宋体" w:eastAsia="宋体" w:cs="仿宋_GB2312"/>
                <w:lang w:val="zh-TW"/>
              </w:rPr>
              <w:t>提供在不同网段数据交换服务。</w:t>
            </w:r>
          </w:p>
          <w:p>
            <w:pPr>
              <w:pStyle w:val="12"/>
              <w:numPr>
                <w:ilvl w:val="0"/>
                <w:numId w:val="1"/>
              </w:numPr>
              <w:ind w:firstLineChars="0"/>
              <w:jc w:val="left"/>
              <w:rPr>
                <w:rFonts w:ascii="宋体" w:hAnsi="宋体" w:eastAsia="宋体" w:cs="仿宋_GB2312"/>
                <w:lang w:val="zh-TW"/>
              </w:rPr>
            </w:pPr>
            <w:r>
              <w:rPr>
                <w:rFonts w:hint="eastAsia" w:ascii="宋体" w:hAnsi="宋体" w:eastAsia="宋体" w:cs="仿宋_GB2312"/>
                <w:szCs w:val="21"/>
                <w:lang w:val="zh-TW"/>
              </w:rPr>
              <w:t>提供</w:t>
            </w:r>
            <w:r>
              <w:rPr>
                <w:rFonts w:hint="eastAsia" w:ascii="宋体" w:hAnsi="宋体" w:eastAsia="宋体" w:cs="仿宋_GB2312"/>
                <w:lang w:val="zh-TW"/>
              </w:rPr>
              <w:t>和放疗计划系统和放疗信息系统接口各一个。</w:t>
            </w:r>
          </w:p>
          <w:p>
            <w:pPr>
              <w:pStyle w:val="12"/>
              <w:numPr>
                <w:ilvl w:val="0"/>
                <w:numId w:val="1"/>
              </w:numPr>
              <w:ind w:firstLineChars="0"/>
              <w:jc w:val="left"/>
              <w:rPr>
                <w:rFonts w:asciiTheme="minorEastAsia" w:hAnsiTheme="minorEastAsia"/>
                <w:szCs w:val="21"/>
              </w:rPr>
            </w:pPr>
            <w:r>
              <w:rPr>
                <w:rFonts w:hint="eastAsia" w:ascii="宋体" w:hAnsi="宋体" w:eastAsia="宋体" w:cs="仿宋_GB2312"/>
                <w:lang w:val="zh-TW"/>
              </w:rPr>
              <w:t>所有以上</w:t>
            </w:r>
            <w:r>
              <w:rPr>
                <w:rFonts w:ascii="宋体" w:hAnsi="宋体" w:eastAsia="宋体" w:cs="仿宋_GB2312"/>
                <w:lang w:val="zh-TW"/>
              </w:rPr>
              <w:t>涉及</w:t>
            </w:r>
            <w:r>
              <w:rPr>
                <w:rFonts w:hint="eastAsia" w:ascii="宋体" w:hAnsi="宋体" w:eastAsia="宋体" w:cs="仿宋_GB2312"/>
                <w:lang w:val="zh-TW"/>
              </w:rPr>
              <w:t>到</w:t>
            </w:r>
            <w:r>
              <w:rPr>
                <w:rFonts w:ascii="宋体" w:hAnsi="宋体" w:eastAsia="宋体" w:cs="仿宋_GB2312"/>
                <w:lang w:val="zh-TW"/>
              </w:rPr>
              <w:t>的软件</w:t>
            </w:r>
            <w:r>
              <w:rPr>
                <w:rFonts w:hint="eastAsia" w:ascii="宋体" w:hAnsi="宋体" w:eastAsia="宋体" w:cs="仿宋_GB2312"/>
                <w:lang w:val="zh-TW"/>
              </w:rPr>
              <w:t>、</w:t>
            </w:r>
            <w:r>
              <w:rPr>
                <w:rFonts w:ascii="宋体" w:hAnsi="宋体" w:eastAsia="宋体" w:cs="仿宋_GB2312"/>
                <w:lang w:val="zh-TW"/>
              </w:rPr>
              <w:t>数据库、</w:t>
            </w:r>
            <w:r>
              <w:rPr>
                <w:rFonts w:hint="eastAsia" w:ascii="宋体" w:hAnsi="宋体" w:eastAsia="宋体" w:cs="仿宋_GB2312"/>
                <w:lang w:val="zh-TW"/>
              </w:rPr>
              <w:t>操作</w:t>
            </w:r>
            <w:r>
              <w:rPr>
                <w:rFonts w:ascii="宋体" w:hAnsi="宋体" w:eastAsia="宋体" w:cs="仿宋_GB2312"/>
                <w:lang w:val="zh-TW"/>
              </w:rPr>
              <w:t>系统</w:t>
            </w:r>
            <w:r>
              <w:rPr>
                <w:rFonts w:hint="eastAsia" w:ascii="宋体" w:hAnsi="宋体" w:eastAsia="宋体" w:cs="仿宋_GB2312"/>
                <w:lang w:val="zh-TW"/>
              </w:rPr>
              <w:t>、服务器</w:t>
            </w:r>
            <w:r>
              <w:rPr>
                <w:rFonts w:ascii="宋体" w:hAnsi="宋体" w:eastAsia="宋体" w:cs="仿宋_GB2312"/>
                <w:lang w:val="zh-TW"/>
              </w:rPr>
              <w:t>等</w:t>
            </w:r>
            <w:r>
              <w:rPr>
                <w:rFonts w:hint="eastAsia" w:ascii="宋体" w:hAnsi="宋体" w:eastAsia="宋体" w:cs="仿宋_GB2312"/>
                <w:lang w:val="zh-TW"/>
              </w:rPr>
              <w:t>均需</w:t>
            </w:r>
            <w:r>
              <w:rPr>
                <w:rFonts w:ascii="宋体" w:hAnsi="宋体" w:eastAsia="宋体" w:cs="仿宋_GB2312"/>
                <w:lang w:val="zh-TW"/>
              </w:rPr>
              <w:t>提供正版化</w:t>
            </w:r>
            <w:r>
              <w:rPr>
                <w:rFonts w:hint="eastAsia" w:ascii="宋体" w:hAnsi="宋体" w:eastAsia="宋体" w:cs="仿宋_GB2312"/>
                <w:lang w:val="zh-TW"/>
              </w:rPr>
              <w:t>服务</w:t>
            </w:r>
          </w:p>
        </w:tc>
        <w:tc>
          <w:tcPr>
            <w:tcW w:w="851" w:type="dxa"/>
          </w:tcPr>
          <w:p>
            <w:pPr>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jc w:val="center"/>
              <w:rPr>
                <w:rFonts w:ascii="宋体" w:hAnsi="宋体" w:eastAsia="宋体"/>
              </w:rPr>
            </w:pPr>
            <w:r>
              <w:rPr>
                <w:rFonts w:ascii="宋体" w:hAnsi="宋体" w:eastAsia="宋体"/>
              </w:rPr>
              <w:t>2</w:t>
            </w:r>
          </w:p>
        </w:tc>
        <w:tc>
          <w:tcPr>
            <w:tcW w:w="1275" w:type="dxa"/>
            <w:vAlign w:val="center"/>
          </w:tcPr>
          <w:p>
            <w:pPr>
              <w:pStyle w:val="14"/>
              <w:rPr>
                <w:rFonts w:hint="default" w:ascii="宋体" w:hAnsi="宋体" w:eastAsia="宋体" w:cs="仿宋_GB2312"/>
                <w:lang w:val="zh-TW" w:eastAsia="zh-TW"/>
              </w:rPr>
            </w:pPr>
            <w:r>
              <w:rPr>
                <w:rFonts w:ascii="宋体" w:hAnsi="宋体" w:eastAsia="宋体" w:cs="仿宋_GB2312"/>
                <w:lang w:val="zh-TW" w:eastAsia="zh-TW"/>
              </w:rPr>
              <w:t>系统管理端</w:t>
            </w:r>
          </w:p>
        </w:tc>
        <w:tc>
          <w:tcPr>
            <w:tcW w:w="6379" w:type="dxa"/>
          </w:tcPr>
          <w:p>
            <w:pPr>
              <w:pStyle w:val="14"/>
              <w:rPr>
                <w:rFonts w:hint="default" w:ascii="宋体" w:hAnsi="宋体" w:eastAsia="宋体" w:cs="仿宋_GB2312"/>
                <w:lang w:val="zh-TW"/>
              </w:rPr>
            </w:pPr>
            <w:r>
              <w:rPr>
                <w:rFonts w:ascii="宋体" w:hAnsi="宋体" w:eastAsia="宋体" w:cs="仿宋_GB2312"/>
                <w:lang w:val="zh-TW"/>
              </w:rPr>
              <w:t>系统管理端需能够基于B/S方式，管理员通过网页进行系统管理，包括但</w:t>
            </w:r>
            <w:r>
              <w:rPr>
                <w:rFonts w:hint="default" w:ascii="宋体" w:hAnsi="宋体" w:eastAsia="宋体" w:cs="仿宋_GB2312"/>
                <w:lang w:val="zh-TW"/>
              </w:rPr>
              <w:t>不限于</w:t>
            </w:r>
            <w:r>
              <w:rPr>
                <w:rFonts w:ascii="宋体" w:hAnsi="宋体" w:eastAsia="宋体" w:cs="仿宋_GB2312"/>
                <w:lang w:val="zh-TW"/>
              </w:rPr>
              <w:t>以下功能模块：</w:t>
            </w:r>
          </w:p>
          <w:p>
            <w:pPr>
              <w:pStyle w:val="12"/>
              <w:numPr>
                <w:ilvl w:val="0"/>
                <w:numId w:val="2"/>
              </w:numPr>
              <w:ind w:firstLineChars="0"/>
              <w:jc w:val="left"/>
              <w:rPr>
                <w:rFonts w:asciiTheme="minorEastAsia" w:hAnsiTheme="minorEastAsia"/>
                <w:szCs w:val="21"/>
              </w:rPr>
            </w:pPr>
            <w:r>
              <w:rPr>
                <w:rFonts w:ascii="宋体" w:hAnsi="宋体" w:eastAsia="宋体" w:cs="仿宋_GB2312"/>
                <w:lang w:val="zh-TW"/>
              </w:rPr>
              <w:t>系统关机：登录管理端后，关闭管理端服务器。</w:t>
            </w:r>
          </w:p>
          <w:p>
            <w:pPr>
              <w:pStyle w:val="12"/>
              <w:numPr>
                <w:ilvl w:val="0"/>
                <w:numId w:val="2"/>
              </w:numPr>
              <w:ind w:firstLineChars="0"/>
              <w:jc w:val="left"/>
              <w:rPr>
                <w:rFonts w:asciiTheme="minorEastAsia" w:hAnsiTheme="minorEastAsia"/>
                <w:szCs w:val="21"/>
              </w:rPr>
            </w:pPr>
            <w:r>
              <w:rPr>
                <w:rFonts w:ascii="宋体" w:hAnsi="宋体" w:eastAsia="宋体" w:cs="仿宋_GB2312"/>
                <w:lang w:val="zh-TW"/>
              </w:rPr>
              <w:t>用户创建：登录管理端后，创建管理员和用户；管理员具有创建管理员和用户权限，用户可以用于客户端登录。</w:t>
            </w:r>
          </w:p>
        </w:tc>
        <w:tc>
          <w:tcPr>
            <w:tcW w:w="851" w:type="dxa"/>
          </w:tcPr>
          <w:p>
            <w:pPr>
              <w:jc w:val="left"/>
              <w:rPr>
                <w:rFonts w:ascii="宋体" w:hAnsi="宋体" w:eastAsia="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10" w:type="dxa"/>
            <w:vAlign w:val="center"/>
          </w:tcPr>
          <w:p>
            <w:pPr>
              <w:jc w:val="center"/>
              <w:rPr>
                <w:rFonts w:ascii="宋体" w:hAnsi="宋体" w:eastAsia="宋体"/>
              </w:rPr>
            </w:pPr>
            <w:r>
              <w:rPr>
                <w:rFonts w:ascii="宋体" w:hAnsi="宋体" w:eastAsia="宋体"/>
              </w:rPr>
              <w:t>3</w:t>
            </w:r>
          </w:p>
        </w:tc>
        <w:tc>
          <w:tcPr>
            <w:tcW w:w="1275" w:type="dxa"/>
            <w:vAlign w:val="center"/>
          </w:tcPr>
          <w:p>
            <w:pPr>
              <w:pStyle w:val="14"/>
              <w:rPr>
                <w:rFonts w:hint="default" w:ascii="宋体" w:hAnsi="宋体" w:eastAsia="宋体" w:cs="仿宋_GB2312"/>
                <w:lang w:val="zh-TW" w:eastAsia="zh-TW"/>
              </w:rPr>
            </w:pPr>
            <w:r>
              <w:rPr>
                <w:rFonts w:ascii="宋体" w:hAnsi="宋体" w:eastAsia="宋体" w:cs="仿宋_GB2312"/>
                <w:lang w:val="zh-TW" w:eastAsia="zh-TW"/>
              </w:rPr>
              <w:t>系统客户端</w:t>
            </w:r>
          </w:p>
        </w:tc>
        <w:tc>
          <w:tcPr>
            <w:tcW w:w="6379" w:type="dxa"/>
          </w:tcPr>
          <w:p>
            <w:pPr>
              <w:pStyle w:val="14"/>
              <w:rPr>
                <w:rFonts w:hint="default" w:ascii="宋体" w:hAnsi="宋体" w:eastAsia="宋体" w:cs="仿宋_GB2312"/>
                <w:lang w:val="zh-TW"/>
              </w:rPr>
            </w:pPr>
            <w:r>
              <w:rPr>
                <w:rFonts w:ascii="宋体" w:hAnsi="宋体" w:eastAsia="宋体" w:cs="仿宋_GB2312"/>
                <w:lang w:val="zh-TW"/>
              </w:rPr>
              <w:t>系统客户端基于C/S方式，用户可同时分别在不同工作站上打开客户端，</w:t>
            </w:r>
            <w:r>
              <w:rPr>
                <w:rFonts w:ascii="宋体" w:hAnsi="宋体" w:eastAsia="宋体" w:cs="仿宋_GB2312"/>
                <w:color w:val="auto"/>
                <w:lang w:val="zh-TW"/>
              </w:rPr>
              <w:t>最少</w:t>
            </w:r>
            <w:r>
              <w:rPr>
                <w:rFonts w:ascii="宋体" w:hAnsi="宋体" w:eastAsia="宋体" w:cs="仿宋_GB2312"/>
                <w:lang w:val="zh-TW"/>
              </w:rPr>
              <w:t>支持五个用户同时打开，客户端需</w:t>
            </w:r>
            <w:r>
              <w:rPr>
                <w:rFonts w:hint="default" w:ascii="宋体" w:hAnsi="宋体" w:eastAsia="宋体" w:cs="仿宋_GB2312"/>
                <w:lang w:val="zh-TW"/>
              </w:rPr>
              <w:t>能够</w:t>
            </w:r>
            <w:r>
              <w:rPr>
                <w:rFonts w:ascii="宋体" w:hAnsi="宋体" w:eastAsia="宋体" w:cs="仿宋_GB2312"/>
                <w:lang w:val="zh-TW"/>
              </w:rPr>
              <w:t>具备但不限于以下功能模块：</w:t>
            </w:r>
          </w:p>
          <w:p>
            <w:pPr>
              <w:pStyle w:val="12"/>
              <w:numPr>
                <w:ilvl w:val="0"/>
                <w:numId w:val="3"/>
              </w:numPr>
              <w:ind w:firstLineChars="0"/>
              <w:jc w:val="left"/>
              <w:rPr>
                <w:rFonts w:asciiTheme="minorEastAsia" w:hAnsiTheme="minorEastAsia"/>
                <w:szCs w:val="21"/>
              </w:rPr>
            </w:pPr>
            <w:r>
              <w:rPr>
                <w:rFonts w:hint="eastAsia" w:ascii="宋体" w:hAnsi="宋体" w:eastAsia="宋体"/>
                <w:szCs w:val="21"/>
              </w:rPr>
              <w:t>用户名和密码登录系统，经认证后，和服务器建立连接。</w:t>
            </w:r>
          </w:p>
          <w:p>
            <w:pPr>
              <w:pStyle w:val="12"/>
              <w:numPr>
                <w:ilvl w:val="0"/>
                <w:numId w:val="3"/>
              </w:numPr>
              <w:ind w:firstLineChars="0"/>
              <w:jc w:val="left"/>
              <w:rPr>
                <w:rFonts w:asciiTheme="minorEastAsia" w:hAnsiTheme="minorEastAsia"/>
                <w:szCs w:val="21"/>
              </w:rPr>
            </w:pPr>
            <w:r>
              <w:rPr>
                <w:rFonts w:hint="eastAsia" w:ascii="宋体" w:hAnsi="宋体" w:eastAsia="宋体"/>
                <w:szCs w:val="21"/>
              </w:rPr>
              <w:t>虚拟化放疗计划系统物理师界面，用户对其界面操作和在本地放疗计划系统物理师工作站操作方式相同。</w:t>
            </w:r>
            <w:r>
              <w:rPr>
                <w:rFonts w:asciiTheme="minorEastAsia" w:hAnsiTheme="minorEastAsia"/>
                <w:szCs w:val="21"/>
              </w:rPr>
              <w:t xml:space="preserve"> </w:t>
            </w:r>
          </w:p>
          <w:p>
            <w:pPr>
              <w:pStyle w:val="12"/>
              <w:numPr>
                <w:ilvl w:val="0"/>
                <w:numId w:val="3"/>
              </w:numPr>
              <w:ind w:firstLineChars="0"/>
              <w:jc w:val="left"/>
              <w:rPr>
                <w:rFonts w:asciiTheme="minorEastAsia" w:hAnsiTheme="minorEastAsia"/>
                <w:szCs w:val="21"/>
              </w:rPr>
            </w:pPr>
            <w:r>
              <w:rPr>
                <w:rFonts w:hint="eastAsia" w:ascii="宋体" w:hAnsi="宋体" w:eastAsia="宋体"/>
                <w:szCs w:val="21"/>
              </w:rPr>
              <w:t>虚拟化放疗计划系统医生界面，用户对其界面操作和在本地放疗计划系统医生工作站操作方式相同。</w:t>
            </w:r>
            <w:r>
              <w:rPr>
                <w:rFonts w:asciiTheme="minorEastAsia" w:hAnsiTheme="minorEastAsia"/>
                <w:szCs w:val="21"/>
              </w:rPr>
              <w:t xml:space="preserve"> </w:t>
            </w:r>
          </w:p>
          <w:p>
            <w:pPr>
              <w:pStyle w:val="12"/>
              <w:numPr>
                <w:ilvl w:val="0"/>
                <w:numId w:val="3"/>
              </w:numPr>
              <w:ind w:firstLineChars="0"/>
              <w:jc w:val="left"/>
              <w:rPr>
                <w:rFonts w:asciiTheme="minorEastAsia" w:hAnsiTheme="minorEastAsia"/>
                <w:szCs w:val="21"/>
              </w:rPr>
            </w:pPr>
            <w:r>
              <w:rPr>
                <w:rFonts w:hint="eastAsia" w:ascii="宋体" w:hAnsi="宋体" w:eastAsia="宋体"/>
                <w:szCs w:val="21"/>
              </w:rPr>
              <w:t>虚拟化放疗信息系统用户界面，用户对其界面操作和在本地放疗信息系统操作方式相同。</w:t>
            </w:r>
            <w:r>
              <w:rPr>
                <w:rFonts w:asciiTheme="minorEastAsia" w:hAnsiTheme="minorEastAsia"/>
                <w:szCs w:val="21"/>
              </w:rPr>
              <w:t xml:space="preserve"> </w:t>
            </w:r>
          </w:p>
          <w:p>
            <w:pPr>
              <w:pStyle w:val="12"/>
              <w:numPr>
                <w:ilvl w:val="0"/>
                <w:numId w:val="3"/>
              </w:numPr>
              <w:ind w:firstLineChars="0"/>
              <w:jc w:val="left"/>
              <w:rPr>
                <w:rFonts w:asciiTheme="minorEastAsia" w:hAnsiTheme="minorEastAsia"/>
                <w:szCs w:val="21"/>
              </w:rPr>
            </w:pPr>
            <w:r>
              <w:rPr>
                <w:rFonts w:hint="eastAsia" w:ascii="宋体" w:hAnsi="宋体" w:eastAsia="宋体"/>
                <w:szCs w:val="21"/>
              </w:rPr>
              <w:t>客户在同一台工作站上可同时打开放疗计划系统和放疗信息系统界面。</w:t>
            </w:r>
          </w:p>
        </w:tc>
        <w:tc>
          <w:tcPr>
            <w:tcW w:w="851" w:type="dxa"/>
          </w:tcPr>
          <w:p>
            <w:pPr>
              <w:jc w:val="left"/>
              <w:rPr>
                <w:rFonts w:ascii="宋体" w:hAnsi="宋体" w:eastAsia="宋体"/>
              </w:rPr>
            </w:pPr>
          </w:p>
        </w:tc>
      </w:tr>
    </w:tbl>
    <w:p>
      <w:pPr>
        <w:widowControl/>
        <w:jc w:val="left"/>
        <w:rPr>
          <w:rFonts w:ascii="宋体" w:hAnsi="宋体" w:eastAsia="宋体" w:cs="Times New Roman"/>
          <w:b/>
          <w:bCs/>
          <w:sz w:val="24"/>
          <w:szCs w:val="24"/>
        </w:rPr>
      </w:pPr>
    </w:p>
    <w:p>
      <w:pPr>
        <w:widowControl/>
        <w:jc w:val="left"/>
        <w:rPr>
          <w:rFonts w:ascii="宋体" w:hAnsi="宋体" w:eastAsia="宋体" w:cs="Times New Roman"/>
          <w:b/>
          <w:bCs/>
          <w:sz w:val="24"/>
          <w:szCs w:val="24"/>
        </w:rPr>
      </w:pPr>
    </w:p>
    <w:p>
      <w:pPr>
        <w:widowControl/>
        <w:jc w:val="left"/>
        <w:rPr>
          <w:rFonts w:ascii="宋体" w:hAnsi="宋体" w:eastAsia="宋体" w:cs="Times New Roman"/>
          <w:b/>
          <w:bCs/>
          <w:sz w:val="24"/>
          <w:szCs w:val="24"/>
        </w:rPr>
      </w:pPr>
    </w:p>
    <w:p>
      <w:pPr>
        <w:rPr>
          <w:rFonts w:eastAsia="宋体" w:asciiTheme="minorEastAsia" w:hAnsiTheme="minorEastAsia"/>
        </w:rPr>
      </w:pPr>
    </w:p>
    <w:sectPr>
      <w:pgSz w:w="11906" w:h="16838"/>
      <w:pgMar w:top="1440" w:right="1800" w:bottom="1440" w:left="180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PMingLiU">
    <w:panose1 w:val="02020500000000000000"/>
    <w:charset w:val="88"/>
    <w:family w:val="roman"/>
    <w:pitch w:val="default"/>
    <w:sig w:usb0="A00002FF" w:usb1="28CFFCFA"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652AEA"/>
    <w:multiLevelType w:val="multilevel"/>
    <w:tmpl w:val="08652AEA"/>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3295ADC"/>
    <w:multiLevelType w:val="multilevel"/>
    <w:tmpl w:val="33295ADC"/>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3917B3C"/>
    <w:multiLevelType w:val="multilevel"/>
    <w:tmpl w:val="33917B3C"/>
    <w:lvl w:ilvl="0" w:tentative="0">
      <w:start w:val="1"/>
      <w:numFmt w:val="decimal"/>
      <w:lvlText w:val="%1)"/>
      <w:lvlJc w:val="left"/>
      <w:pPr>
        <w:ind w:left="420" w:hanging="420"/>
      </w:pPr>
      <w:rPr>
        <w:rFonts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BF4"/>
    <w:rsid w:val="0000449F"/>
    <w:rsid w:val="0001125C"/>
    <w:rsid w:val="00020037"/>
    <w:rsid w:val="00041EE8"/>
    <w:rsid w:val="000626D5"/>
    <w:rsid w:val="000765F0"/>
    <w:rsid w:val="00083CD4"/>
    <w:rsid w:val="000D45A5"/>
    <w:rsid w:val="001701CF"/>
    <w:rsid w:val="00195667"/>
    <w:rsid w:val="0019799C"/>
    <w:rsid w:val="001B3F0E"/>
    <w:rsid w:val="001C2466"/>
    <w:rsid w:val="001C5E59"/>
    <w:rsid w:val="001E0E82"/>
    <w:rsid w:val="001F11D4"/>
    <w:rsid w:val="00204F8B"/>
    <w:rsid w:val="00217D0F"/>
    <w:rsid w:val="002549B5"/>
    <w:rsid w:val="00283E10"/>
    <w:rsid w:val="002A2B6F"/>
    <w:rsid w:val="002A50C6"/>
    <w:rsid w:val="002C6496"/>
    <w:rsid w:val="002D27FE"/>
    <w:rsid w:val="00311CB2"/>
    <w:rsid w:val="00313C2C"/>
    <w:rsid w:val="00314D49"/>
    <w:rsid w:val="0032446E"/>
    <w:rsid w:val="00353CE3"/>
    <w:rsid w:val="00355B5C"/>
    <w:rsid w:val="003601A5"/>
    <w:rsid w:val="00377BEA"/>
    <w:rsid w:val="00384E74"/>
    <w:rsid w:val="00385167"/>
    <w:rsid w:val="00392665"/>
    <w:rsid w:val="003B04CE"/>
    <w:rsid w:val="003B1A3D"/>
    <w:rsid w:val="003B32E9"/>
    <w:rsid w:val="003C64DB"/>
    <w:rsid w:val="004025E9"/>
    <w:rsid w:val="00406AEE"/>
    <w:rsid w:val="00412F55"/>
    <w:rsid w:val="00427334"/>
    <w:rsid w:val="004505C5"/>
    <w:rsid w:val="004A07EB"/>
    <w:rsid w:val="004B7EE6"/>
    <w:rsid w:val="004D22EB"/>
    <w:rsid w:val="004E78B6"/>
    <w:rsid w:val="004F6B16"/>
    <w:rsid w:val="00521684"/>
    <w:rsid w:val="00550076"/>
    <w:rsid w:val="0055160A"/>
    <w:rsid w:val="00583175"/>
    <w:rsid w:val="005B0427"/>
    <w:rsid w:val="005B53B8"/>
    <w:rsid w:val="005D7B33"/>
    <w:rsid w:val="005F3272"/>
    <w:rsid w:val="005F6AA6"/>
    <w:rsid w:val="0060203C"/>
    <w:rsid w:val="00604EA8"/>
    <w:rsid w:val="00612652"/>
    <w:rsid w:val="006141A7"/>
    <w:rsid w:val="00620606"/>
    <w:rsid w:val="00633A5C"/>
    <w:rsid w:val="00644BF4"/>
    <w:rsid w:val="00654B95"/>
    <w:rsid w:val="006708A6"/>
    <w:rsid w:val="0067554C"/>
    <w:rsid w:val="006757F2"/>
    <w:rsid w:val="00676C1F"/>
    <w:rsid w:val="006A10AC"/>
    <w:rsid w:val="006A145B"/>
    <w:rsid w:val="007046E3"/>
    <w:rsid w:val="00707EBF"/>
    <w:rsid w:val="00716252"/>
    <w:rsid w:val="00732265"/>
    <w:rsid w:val="0074010F"/>
    <w:rsid w:val="0075313C"/>
    <w:rsid w:val="0076747F"/>
    <w:rsid w:val="00774C0C"/>
    <w:rsid w:val="00781F7F"/>
    <w:rsid w:val="00786530"/>
    <w:rsid w:val="00787059"/>
    <w:rsid w:val="007B0880"/>
    <w:rsid w:val="007C367B"/>
    <w:rsid w:val="007D131C"/>
    <w:rsid w:val="007F4F4D"/>
    <w:rsid w:val="0080651D"/>
    <w:rsid w:val="00817AFD"/>
    <w:rsid w:val="00824983"/>
    <w:rsid w:val="00826188"/>
    <w:rsid w:val="008504BF"/>
    <w:rsid w:val="008728A9"/>
    <w:rsid w:val="008D1C1E"/>
    <w:rsid w:val="009052EA"/>
    <w:rsid w:val="009563DF"/>
    <w:rsid w:val="00983022"/>
    <w:rsid w:val="00987018"/>
    <w:rsid w:val="009A49E7"/>
    <w:rsid w:val="009C0B78"/>
    <w:rsid w:val="009C2F15"/>
    <w:rsid w:val="00A02EF3"/>
    <w:rsid w:val="00A103C5"/>
    <w:rsid w:val="00A14757"/>
    <w:rsid w:val="00A52863"/>
    <w:rsid w:val="00A536BC"/>
    <w:rsid w:val="00A60325"/>
    <w:rsid w:val="00A641FE"/>
    <w:rsid w:val="00A74174"/>
    <w:rsid w:val="00AA6570"/>
    <w:rsid w:val="00AA6CDC"/>
    <w:rsid w:val="00AB741D"/>
    <w:rsid w:val="00AC39B7"/>
    <w:rsid w:val="00B24F33"/>
    <w:rsid w:val="00B37824"/>
    <w:rsid w:val="00B43824"/>
    <w:rsid w:val="00B546E0"/>
    <w:rsid w:val="00B6116D"/>
    <w:rsid w:val="00B95917"/>
    <w:rsid w:val="00BB34AC"/>
    <w:rsid w:val="00BC374B"/>
    <w:rsid w:val="00BC42E1"/>
    <w:rsid w:val="00BD2958"/>
    <w:rsid w:val="00BF2A26"/>
    <w:rsid w:val="00C4263D"/>
    <w:rsid w:val="00C448AF"/>
    <w:rsid w:val="00C454B4"/>
    <w:rsid w:val="00C57152"/>
    <w:rsid w:val="00C772E0"/>
    <w:rsid w:val="00C82DD0"/>
    <w:rsid w:val="00CB4D6C"/>
    <w:rsid w:val="00CD1A8D"/>
    <w:rsid w:val="00D07B0F"/>
    <w:rsid w:val="00D130A0"/>
    <w:rsid w:val="00D4047B"/>
    <w:rsid w:val="00D43ADA"/>
    <w:rsid w:val="00D83086"/>
    <w:rsid w:val="00D91DB6"/>
    <w:rsid w:val="00D953A6"/>
    <w:rsid w:val="00DB7B60"/>
    <w:rsid w:val="00DC3261"/>
    <w:rsid w:val="00DD38E1"/>
    <w:rsid w:val="00DE1BF0"/>
    <w:rsid w:val="00DF5E3F"/>
    <w:rsid w:val="00DF77F0"/>
    <w:rsid w:val="00E0154E"/>
    <w:rsid w:val="00E06C9A"/>
    <w:rsid w:val="00E14F72"/>
    <w:rsid w:val="00E24EDC"/>
    <w:rsid w:val="00E37FFE"/>
    <w:rsid w:val="00E41F57"/>
    <w:rsid w:val="00E53015"/>
    <w:rsid w:val="00E61902"/>
    <w:rsid w:val="00E777D7"/>
    <w:rsid w:val="00EA2292"/>
    <w:rsid w:val="00EB22D1"/>
    <w:rsid w:val="00EC6A14"/>
    <w:rsid w:val="00ED6FB7"/>
    <w:rsid w:val="00EF3ED4"/>
    <w:rsid w:val="00F32755"/>
    <w:rsid w:val="00F62BF3"/>
    <w:rsid w:val="00F67729"/>
    <w:rsid w:val="00F73EEE"/>
    <w:rsid w:val="00F91A6C"/>
    <w:rsid w:val="00F92C50"/>
    <w:rsid w:val="00F9365E"/>
    <w:rsid w:val="00FA161A"/>
    <w:rsid w:val="00FA3173"/>
    <w:rsid w:val="00FB7EE0"/>
    <w:rsid w:val="00FD2C87"/>
    <w:rsid w:val="00FD6E80"/>
    <w:rsid w:val="00FF4938"/>
    <w:rsid w:val="4FA37EF2"/>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annotation text"/>
    <w:basedOn w:val="1"/>
    <w:link w:val="15"/>
    <w:unhideWhenUsed/>
    <w:qFormat/>
    <w:uiPriority w:val="99"/>
    <w:pPr>
      <w:jc w:val="left"/>
    </w:pPr>
  </w:style>
  <w:style w:type="paragraph" w:styleId="3">
    <w:name w:val="Balloon Text"/>
    <w:basedOn w:val="1"/>
    <w:link w:val="13"/>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pPr>
    <w:rPr>
      <w:sz w:val="20"/>
      <w:szCs w:val="20"/>
    </w:rPr>
  </w:style>
  <w:style w:type="paragraph" w:styleId="5">
    <w:name w:val="header"/>
    <w:basedOn w:val="1"/>
    <w:link w:val="10"/>
    <w:unhideWhenUsed/>
    <w:uiPriority w:val="99"/>
    <w:pPr>
      <w:tabs>
        <w:tab w:val="center" w:pos="4153"/>
        <w:tab w:val="right" w:pos="8306"/>
      </w:tabs>
      <w:snapToGrid w:val="0"/>
    </w:pPr>
    <w:rPr>
      <w:sz w:val="20"/>
      <w:szCs w:val="20"/>
    </w:rPr>
  </w:style>
  <w:style w:type="character" w:styleId="7">
    <w:name w:val="annotation reference"/>
    <w:basedOn w:val="6"/>
    <w:unhideWhenUsed/>
    <w:uiPriority w:val="99"/>
    <w:rPr>
      <w:sz w:val="21"/>
      <w:szCs w:val="21"/>
    </w:rPr>
  </w:style>
  <w:style w:type="table" w:styleId="9">
    <w:name w:val="Table Grid"/>
    <w:basedOn w:val="8"/>
    <w:uiPriority w:val="59"/>
    <w:rPr>
      <w:sz w:val="21"/>
      <w:lang w:eastAsia="zh-C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6"/>
    <w:link w:val="5"/>
    <w:uiPriority w:val="99"/>
    <w:rPr>
      <w:sz w:val="20"/>
      <w:szCs w:val="20"/>
    </w:rPr>
  </w:style>
  <w:style w:type="character" w:customStyle="1" w:styleId="11">
    <w:name w:val="页脚 Char"/>
    <w:basedOn w:val="6"/>
    <w:link w:val="4"/>
    <w:uiPriority w:val="99"/>
    <w:rPr>
      <w:sz w:val="20"/>
      <w:szCs w:val="20"/>
    </w:rPr>
  </w:style>
  <w:style w:type="paragraph" w:customStyle="1" w:styleId="12">
    <w:name w:val="List Paragraph"/>
    <w:basedOn w:val="1"/>
    <w:qFormat/>
    <w:uiPriority w:val="34"/>
    <w:pPr>
      <w:ind w:firstLine="420" w:firstLineChars="200"/>
    </w:pPr>
  </w:style>
  <w:style w:type="character" w:customStyle="1" w:styleId="13">
    <w:name w:val="批注框文本 Char"/>
    <w:basedOn w:val="6"/>
    <w:link w:val="3"/>
    <w:semiHidden/>
    <w:qFormat/>
    <w:uiPriority w:val="99"/>
    <w:rPr>
      <w:sz w:val="18"/>
      <w:szCs w:val="18"/>
      <w:lang w:eastAsia="zh-CN"/>
    </w:rPr>
  </w:style>
  <w:style w:type="paragraph" w:customStyle="1" w:styleId="14">
    <w:name w:val="正文 A"/>
    <w:uiPriority w:val="0"/>
    <w:pPr>
      <w:widowControl w:val="0"/>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5">
    <w:name w:val="批注文字 Char"/>
    <w:basedOn w:val="6"/>
    <w:link w:val="2"/>
    <w:semiHidden/>
    <w:qFormat/>
    <w:uiPriority w:val="99"/>
    <w:rPr>
      <w:sz w:val="21"/>
      <w:lang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245</Words>
  <Characters>1399</Characters>
  <Lines>11</Lines>
  <Paragraphs>3</Paragraphs>
  <TotalTime>0</TotalTime>
  <ScaleCrop>false</ScaleCrop>
  <LinksUpToDate>false</LinksUpToDate>
  <CharactersWithSpaces>1641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2021-09-08T01:34:00Z</dcterms:created>
  <dc:creator>cgmh</dc:creator>
  <cp:lastModifiedBy>张淞鸿</cp:lastModifiedBy>
  <dcterms:modified xsi:type="dcterms:W3CDTF">2021-10-25T08:44:00Z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