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0" w:firstLineChars="0"/>
        <w:jc w:val="center"/>
        <w:rPr>
          <w:rFonts w:hint="default" w:ascii="宋体" w:hAnsi="宋体" w:eastAsia="宋体"/>
          <w:sz w:val="44"/>
          <w:szCs w:val="44"/>
          <w:lang w:val="en-US" w:eastAsia="zh-CN"/>
        </w:rPr>
      </w:pPr>
      <w:r>
        <w:rPr>
          <w:rFonts w:hint="eastAsia" w:ascii="宋体" w:hAnsi="宋体"/>
          <w:b/>
          <w:sz w:val="44"/>
          <w:szCs w:val="44"/>
          <w:u w:val="single"/>
        </w:rPr>
        <w:t>新公寓</w:t>
      </w:r>
      <w:r>
        <w:rPr>
          <w:rFonts w:hint="eastAsia" w:ascii="宋体" w:hAnsi="宋体"/>
          <w:b/>
          <w:sz w:val="44"/>
          <w:szCs w:val="44"/>
          <w:u w:val="single"/>
          <w:lang w:val="en-US" w:eastAsia="zh-CN"/>
        </w:rPr>
        <w:t>智慧用电管理系统</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20</w:t>
      </w:r>
      <w:r>
        <w:rPr>
          <w:rFonts w:hint="eastAsia" w:ascii="宋体" w:hAnsi="宋体"/>
          <w:b/>
          <w:sz w:val="32"/>
          <w:szCs w:val="32"/>
          <w:u w:val="single"/>
          <w:lang w:val="en-US" w:eastAsia="zh-CN"/>
        </w:rPr>
        <w:t>21</w:t>
      </w:r>
      <w:r>
        <w:rPr>
          <w:rFonts w:hint="eastAsia" w:ascii="宋体" w:hAnsi="宋体"/>
          <w:b/>
          <w:sz w:val="32"/>
          <w:szCs w:val="32"/>
        </w:rPr>
        <w:t>号</w:t>
      </w:r>
    </w:p>
    <w:p>
      <w:pPr>
        <w:adjustRightInd w:val="0"/>
        <w:snapToGrid w:val="0"/>
        <w:ind w:firstLine="2287" w:firstLineChars="712"/>
        <w:rPr>
          <w:rFonts w:hint="default"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single"/>
        </w:rPr>
        <w:t>TH21</w:t>
      </w:r>
      <w:r>
        <w:rPr>
          <w:rFonts w:hint="eastAsia" w:ascii="宋体" w:hAnsi="宋体"/>
          <w:b/>
          <w:sz w:val="32"/>
          <w:szCs w:val="32"/>
          <w:u w:val="single"/>
          <w:lang w:val="en-US" w:eastAsia="zh-CN"/>
        </w:rPr>
        <w:t>212</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二○二一年</w:t>
      </w:r>
      <w:r>
        <w:rPr>
          <w:rFonts w:hint="eastAsia" w:ascii="宋体" w:hAnsi="宋体"/>
          <w:b/>
          <w:sz w:val="32"/>
          <w:lang w:eastAsia="zh-CN"/>
        </w:rPr>
        <w:t>十</w:t>
      </w:r>
      <w:r>
        <w:rPr>
          <w:rFonts w:hint="eastAsia" w:ascii="宋体" w:hAnsi="宋体"/>
          <w:b/>
          <w:sz w:val="32"/>
        </w:rPr>
        <w:t>月</w:t>
      </w:r>
    </w:p>
    <w:p>
      <w:pPr>
        <w:adjustRightInd w:val="0"/>
        <w:snapToGrid w:val="0"/>
        <w:ind w:firstLine="0" w:firstLineChars="0"/>
        <w:jc w:val="center"/>
      </w:pPr>
    </w:p>
    <w:p>
      <w:pPr>
        <w:pStyle w:val="59"/>
        <w:ind w:firstLine="0" w:firstLineChars="0"/>
        <w:jc w:val="both"/>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116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123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127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134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138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150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3"/>
        <w:keepNext w:val="0"/>
        <w:keepLines w:val="0"/>
        <w:ind w:left="0"/>
        <w:rPr>
          <w:rFonts w:ascii="宋体" w:hAnsi="宋体"/>
        </w:rPr>
      </w:pPr>
      <w:bookmarkStart w:id="0" w:name="_Toc138740206"/>
      <w:bookmarkStart w:id="1" w:name="_Toc79682141"/>
      <w:r>
        <w:rPr>
          <w:rFonts w:hint="eastAsia" w:ascii="宋体" w:hAnsi="宋体"/>
        </w:rPr>
        <w:t>投标须知及投标须知前附表</w:t>
      </w:r>
      <w:bookmarkEnd w:id="0"/>
      <w:bookmarkEnd w:id="1"/>
    </w:p>
    <w:p>
      <w:pPr>
        <w:pStyle w:val="4"/>
        <w:keepNext w:val="0"/>
        <w:keepLines w:val="0"/>
        <w:rPr>
          <w:rFonts w:ascii="宋体" w:hAnsi="宋体"/>
        </w:rPr>
      </w:pPr>
      <w:r>
        <w:rPr>
          <w:rFonts w:ascii="宋体" w:hAnsi="宋体"/>
        </w:rPr>
        <w:br w:type="page"/>
      </w:r>
      <w:bookmarkStart w:id="2" w:name="_Toc395611378"/>
      <w:bookmarkStart w:id="3" w:name="_Toc138740207"/>
      <w:r>
        <w:rPr>
          <w:rFonts w:hint="eastAsia" w:ascii="宋体" w:hAnsi="宋体"/>
        </w:rPr>
        <w:t>投标须知前附表</w:t>
      </w:r>
      <w:bookmarkEnd w:id="2"/>
      <w:bookmarkEnd w:id="3"/>
    </w:p>
    <w:tbl>
      <w:tblPr>
        <w:tblStyle w:val="41"/>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ind w:firstLine="0" w:firstLineChars="0"/>
              <w:jc w:val="left"/>
              <w:rPr>
                <w:rFonts w:ascii="宋体" w:hAnsi="宋体"/>
                <w:b/>
                <w:szCs w:val="21"/>
              </w:rPr>
            </w:pPr>
            <w:r>
              <w:rPr>
                <w:rFonts w:hint="eastAsia" w:ascii="宋体" w:hAnsi="宋体" w:eastAsia="宋体" w:cs="Times New Roman"/>
                <w:b/>
                <w:bCs/>
                <w:kern w:val="2"/>
                <w:sz w:val="21"/>
                <w:szCs w:val="24"/>
                <w:u w:val="single"/>
                <w:lang w:val="en-US" w:eastAsia="zh-CN" w:bidi="ar-SA"/>
              </w:rPr>
              <w:t>新公寓智慧用电管理系统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pPr>
            <w:r>
              <w:rPr>
                <w:rFonts w:hint="eastAsia"/>
              </w:rPr>
              <w:t>本次招标的范围为图纸中所包含的</w:t>
            </w:r>
            <w:r>
              <w:rPr>
                <w:rFonts w:hint="eastAsia"/>
                <w:lang w:val="en-US" w:eastAsia="zh-CN"/>
              </w:rPr>
              <w:t>门禁</w:t>
            </w:r>
            <w:r>
              <w:rPr>
                <w:rFonts w:hint="eastAsia"/>
              </w:rPr>
              <w:t>终端、传输设备及整体平台系统调试等。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计划开工时间：20</w:t>
            </w:r>
            <w:r>
              <w:t>2</w:t>
            </w:r>
            <w:r>
              <w:rPr>
                <w:rFonts w:hint="eastAsia"/>
              </w:rPr>
              <w:t>1年</w:t>
            </w:r>
            <w:r>
              <w:rPr>
                <w:rFonts w:hint="eastAsia"/>
                <w:u w:val="single"/>
                <w:lang w:val="en-US" w:eastAsia="zh-CN"/>
              </w:rPr>
              <w:t xml:space="preserve"> 11 </w:t>
            </w:r>
            <w:r>
              <w:rPr>
                <w:rFonts w:hint="eastAsia"/>
              </w:rPr>
              <w:t>月</w:t>
            </w:r>
            <w:r>
              <w:rPr>
                <w:rFonts w:hint="eastAsia"/>
                <w:u w:val="single"/>
                <w:lang w:val="en-US" w:eastAsia="zh-CN"/>
              </w:rPr>
              <w:t xml:space="preserve"> 01 </w:t>
            </w:r>
            <w:bookmarkStart w:id="1207" w:name="_GoBack"/>
            <w:bookmarkEnd w:id="1207"/>
            <w:r>
              <w:rPr>
                <w:rFonts w:hint="eastAsia"/>
              </w:rPr>
              <w:t>日，招标人要求工期：3</w:t>
            </w:r>
            <w:r>
              <w:rPr>
                <w:rFonts w:hint="eastAsia"/>
                <w:lang w:val="en-US" w:eastAsia="zh-CN"/>
              </w:rPr>
              <w:t>0</w:t>
            </w:r>
            <w:r>
              <w:rPr>
                <w:rFonts w:hint="eastAsia"/>
              </w:rPr>
              <w:t>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pPr>
            <w:r>
              <w:rPr>
                <w:rFonts w:hint="eastAsia"/>
              </w:rPr>
              <w:t>1、具有有效的企业营业执照；</w:t>
            </w:r>
          </w:p>
          <w:p>
            <w:pPr>
              <w:pStyle w:val="61"/>
            </w:pPr>
            <w:r>
              <w:rPr>
                <w:rFonts w:hint="eastAsia"/>
              </w:rPr>
              <w:t>2、具有建筑智能化工程专业承包二级及以上资质</w:t>
            </w:r>
          </w:p>
          <w:p>
            <w:pPr>
              <w:pStyle w:val="61"/>
            </w:pPr>
            <w:r>
              <w:rPr>
                <w:rFonts w:hint="eastAsia"/>
              </w:rPr>
              <w:t>3、拟派项目经理应有二级建造师以上证照</w:t>
            </w:r>
          </w:p>
          <w:p>
            <w:pPr>
              <w:pStyle w:val="61"/>
            </w:pPr>
            <w:r>
              <w:rPr>
                <w:rFonts w:hint="eastAsia"/>
              </w:rPr>
              <w:t>4、投标人在近三年内（2018年0</w:t>
            </w:r>
            <w:r>
              <w:rPr>
                <w:rFonts w:hint="eastAsia"/>
                <w:lang w:val="en-US" w:eastAsia="zh-CN"/>
              </w:rPr>
              <w:t>9</w:t>
            </w:r>
            <w:r>
              <w:rPr>
                <w:rFonts w:hint="eastAsia"/>
              </w:rPr>
              <w:t>月-投标截止</w:t>
            </w:r>
            <w:r>
              <w:t>时间</w:t>
            </w:r>
            <w:r>
              <w:rPr>
                <w:rFonts w:hint="eastAsia"/>
              </w:rPr>
              <w:t>）没有骗取中标和严重违约及重大工程质量问题；参加本采购活动前三年内，在经营活动中没有重大违法记录；</w:t>
            </w:r>
          </w:p>
          <w:p>
            <w:pPr>
              <w:pStyle w:val="61"/>
            </w:pPr>
            <w:r>
              <w:rPr>
                <w:rFonts w:hint="eastAsia"/>
              </w:rPr>
              <w:t>5、具有良好的商业信誉和健全的财务会计制度；</w:t>
            </w:r>
          </w:p>
          <w:p>
            <w:pPr>
              <w:pStyle w:val="61"/>
            </w:pPr>
            <w:r>
              <w:rPr>
                <w:rFonts w:hint="eastAsia"/>
              </w:rPr>
              <w:t>6、具有依法缴纳税收和社会保障资金的良好记录；</w:t>
            </w:r>
          </w:p>
          <w:p>
            <w:pPr>
              <w:pStyle w:val="61"/>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eastAsia"/>
                <w:u w:val="single"/>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pPr>
            <w:r>
              <w:rPr>
                <w:rFonts w:hint="eastAsia"/>
              </w:rPr>
              <w:t>北京清</w:t>
            </w:r>
            <w:r>
              <w:t>华长庚医院</w:t>
            </w:r>
            <w:r>
              <w:rPr>
                <w:rFonts w:hint="eastAsia"/>
              </w:rPr>
              <w:t>2</w:t>
            </w:r>
            <w:r>
              <w:t>#楼</w:t>
            </w:r>
            <w:r>
              <w:rPr>
                <w:rFonts w:hint="eastAsia"/>
              </w:rPr>
              <w:t>工务处</w:t>
            </w:r>
          </w:p>
          <w:p>
            <w:pPr>
              <w:pStyle w:val="61"/>
            </w:pPr>
            <w:r>
              <w:rPr>
                <w:rFonts w:hint="eastAsia"/>
              </w:rPr>
              <w:t>时  间：20</w:t>
            </w:r>
            <w:r>
              <w:t>2</w:t>
            </w:r>
            <w:r>
              <w:rPr>
                <w:rFonts w:hint="eastAsia"/>
              </w:rPr>
              <w:t>1年</w:t>
            </w:r>
            <w:r>
              <w:rPr>
                <w:rFonts w:hint="eastAsia"/>
                <w:u w:val="single"/>
                <w:lang w:val="en-US" w:eastAsia="zh-CN"/>
              </w:rPr>
              <w:t xml:space="preserve"> 10 </w:t>
            </w:r>
            <w:r>
              <w:rPr>
                <w:rFonts w:hint="eastAsia"/>
              </w:rPr>
              <w:t>月</w:t>
            </w:r>
            <w:r>
              <w:rPr>
                <w:rFonts w:hint="eastAsia"/>
                <w:u w:val="single"/>
                <w:lang w:val="en-US" w:eastAsia="zh-CN"/>
              </w:rPr>
              <w:t xml:space="preserve"> 26 </w:t>
            </w:r>
            <w:r>
              <w:rPr>
                <w:rFonts w:hint="eastAsia"/>
              </w:rPr>
              <w:t xml:space="preserve">日 </w:t>
            </w:r>
            <w:r>
              <w:rPr>
                <w:rFonts w:hint="eastAsia"/>
                <w:lang w:eastAsia="zh-CN"/>
              </w:rPr>
              <w:t>下</w:t>
            </w:r>
            <w:r>
              <w:rPr>
                <w:rFonts w:hint="eastAsia"/>
              </w:rPr>
              <w:t>午1</w:t>
            </w:r>
            <w:r>
              <w:rPr>
                <w:rFonts w:hint="eastAsia"/>
                <w:lang w:val="en-US" w:eastAsia="zh-CN"/>
              </w:rPr>
              <w:t>4</w:t>
            </w:r>
            <w:r>
              <w:rPr>
                <w:rFonts w:hint="eastAsia"/>
              </w:rPr>
              <w:t>:00时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rPr>
            </w:pPr>
            <w:r>
              <w:rPr>
                <w:rFonts w:hint="eastAsia"/>
              </w:rPr>
              <w:t>开始时间：20</w:t>
            </w:r>
            <w:r>
              <w:t>2</w:t>
            </w:r>
            <w:r>
              <w:rPr>
                <w:rFonts w:hint="eastAsia"/>
              </w:rPr>
              <w:t>1年</w:t>
            </w:r>
            <w:r>
              <w:rPr>
                <w:rFonts w:hint="eastAsia"/>
                <w:u w:val="single"/>
                <w:lang w:val="en-US" w:eastAsia="zh-CN"/>
              </w:rPr>
              <w:t xml:space="preserve"> 10  </w:t>
            </w:r>
            <w:r>
              <w:rPr>
                <w:rFonts w:hint="eastAsia"/>
              </w:rPr>
              <w:t>月</w:t>
            </w:r>
            <w:r>
              <w:rPr>
                <w:rFonts w:hint="eastAsia"/>
                <w:u w:val="single"/>
                <w:lang w:val="en-US" w:eastAsia="zh-CN"/>
              </w:rPr>
              <w:t xml:space="preserve"> 26 </w:t>
            </w:r>
            <w:r>
              <w:rPr>
                <w:rFonts w:hint="eastAsia"/>
              </w:rPr>
              <w:t xml:space="preserve">日 </w:t>
            </w:r>
            <w:r>
              <w:rPr>
                <w:rFonts w:hint="eastAsia"/>
                <w:lang w:eastAsia="zh-CN"/>
              </w:rPr>
              <w:t>下</w:t>
            </w:r>
            <w:r>
              <w:rPr>
                <w:rFonts w:hint="eastAsia"/>
              </w:rPr>
              <w:t>午1</w:t>
            </w:r>
            <w:r>
              <w:rPr>
                <w:rFonts w:hint="eastAsia"/>
                <w:lang w:val="en-US" w:eastAsia="zh-CN"/>
              </w:rPr>
              <w:t>4</w:t>
            </w:r>
            <w:r>
              <w:rPr>
                <w:rFonts w:hint="eastAsia"/>
              </w:rPr>
              <w:t>:00时</w:t>
            </w:r>
          </w:p>
          <w:p>
            <w:pPr>
              <w:pStyle w:val="61"/>
            </w:pPr>
            <w:r>
              <w:rPr>
                <w:rFonts w:hint="eastAsia"/>
              </w:rPr>
              <w:t>地    点: 北京清</w:t>
            </w:r>
            <w:r>
              <w:t>华长庚医院</w:t>
            </w:r>
            <w:r>
              <w:rPr>
                <w:rFonts w:hint="eastAsia"/>
              </w:rPr>
              <w:t>2</w:t>
            </w:r>
            <w:r>
              <w:t>#楼</w:t>
            </w:r>
            <w:r>
              <w:rPr>
                <w:rFonts w:hint="eastAsia"/>
              </w:rPr>
              <w:t>3层会议</w:t>
            </w:r>
            <w:r>
              <w:t>室</w:t>
            </w: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0" w:firstLineChars="0"/>
              <w:rPr>
                <w:rFonts w:hint="eastAsia"/>
              </w:rPr>
            </w:pPr>
            <w:r>
              <w:rPr>
                <w:rFonts w:hint="eastAsia"/>
              </w:rPr>
              <w:t>人民币</w:t>
            </w:r>
            <w:r>
              <w:rPr>
                <w:rFonts w:hint="eastAsia"/>
                <w:lang w:val="en-US" w:eastAsia="zh-CN"/>
              </w:rPr>
              <w:t xml:space="preserve"> 546,318.56</w:t>
            </w:r>
            <w:r>
              <w:rPr>
                <w:rFonts w:hint="eastAsia"/>
              </w:rPr>
              <w:t xml:space="preserve"> 元</w:t>
            </w:r>
          </w:p>
          <w:p>
            <w:pPr>
              <w:spacing w:line="312" w:lineRule="auto"/>
              <w:ind w:firstLine="0" w:firstLineChars="0"/>
            </w:pPr>
            <w:r>
              <w:rPr>
                <w:rFonts w:hint="eastAsia"/>
              </w:rPr>
              <w:t>（大写：</w:t>
            </w:r>
            <w:r>
              <w:rPr>
                <w:rFonts w:hint="eastAsia"/>
                <w:lang w:val="en-US" w:eastAsia="zh-CN"/>
              </w:rPr>
              <w:t xml:space="preserve"> 伍拾肆万陆仟叁佰壹拾捌元伍角陆分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pPr>
            <w:r>
              <w:rPr>
                <w:rFonts w:hint="eastAsia"/>
              </w:rPr>
              <w:t>领</w:t>
            </w:r>
            <w:r>
              <w:t>取招标文件</w:t>
            </w:r>
            <w:r>
              <w:rPr>
                <w:rFonts w:ascii="宋体" w:hAnsi="宋体"/>
              </w:rPr>
              <w:t>时间：</w:t>
            </w:r>
            <w:r>
              <w:rPr>
                <w:rFonts w:hint="eastAsia" w:ascii="宋体" w:hAnsi="宋体"/>
              </w:rPr>
              <w:t>20</w:t>
            </w:r>
            <w:r>
              <w:rPr>
                <w:rFonts w:ascii="宋体" w:hAnsi="宋体"/>
              </w:rPr>
              <w:t>2</w:t>
            </w:r>
            <w:r>
              <w:rPr>
                <w:rFonts w:hint="eastAsia" w:ascii="宋体" w:hAnsi="宋体"/>
              </w:rPr>
              <w:t>1年</w:t>
            </w:r>
            <w:r>
              <w:rPr>
                <w:rFonts w:hint="eastAsia" w:ascii="宋体" w:hAnsi="宋体"/>
                <w:u w:val="single"/>
                <w:lang w:val="en-US" w:eastAsia="zh-CN"/>
              </w:rPr>
              <w:t xml:space="preserve"> 10 </w:t>
            </w:r>
            <w:r>
              <w:rPr>
                <w:rFonts w:hint="eastAsia" w:ascii="宋体" w:hAnsi="宋体"/>
              </w:rPr>
              <w:t>月</w:t>
            </w:r>
            <w:r>
              <w:rPr>
                <w:rFonts w:hint="eastAsia" w:ascii="宋体" w:hAnsi="宋体"/>
                <w:u w:val="single"/>
                <w:lang w:val="en-US" w:eastAsia="zh-CN"/>
              </w:rPr>
              <w:t xml:space="preserve"> 21 </w:t>
            </w:r>
            <w:r>
              <w:rPr>
                <w:rFonts w:hint="eastAsia" w:ascii="宋体" w:hAnsi="宋体"/>
              </w:rPr>
              <w:t>日</w:t>
            </w:r>
            <w:r>
              <w:rPr>
                <w:rFonts w:ascii="宋体" w:hAnsi="宋体"/>
              </w:rPr>
              <w:t>至</w:t>
            </w:r>
            <w:r>
              <w:rPr>
                <w:rFonts w:hint="eastAsia" w:ascii="宋体" w:hAnsi="宋体"/>
              </w:rPr>
              <w:t>20</w:t>
            </w:r>
            <w:r>
              <w:rPr>
                <w:rFonts w:ascii="宋体" w:hAnsi="宋体"/>
              </w:rPr>
              <w:t>2</w:t>
            </w:r>
            <w:r>
              <w:rPr>
                <w:rFonts w:hint="eastAsia" w:ascii="宋体" w:hAnsi="宋体"/>
              </w:rPr>
              <w:t>1年</w:t>
            </w:r>
            <w:r>
              <w:rPr>
                <w:rFonts w:hint="eastAsia" w:ascii="宋体" w:hAnsi="宋体"/>
                <w:u w:val="single"/>
                <w:lang w:val="en-US" w:eastAsia="zh-CN"/>
              </w:rPr>
              <w:t xml:space="preserve">   10</w:t>
            </w:r>
            <w:r>
              <w:rPr>
                <w:rFonts w:hint="eastAsia" w:ascii="宋体" w:hAnsi="宋体"/>
              </w:rPr>
              <w:t>月</w:t>
            </w:r>
            <w:r>
              <w:rPr>
                <w:rFonts w:hint="eastAsia" w:ascii="宋体" w:hAnsi="宋体"/>
                <w:u w:val="single"/>
                <w:lang w:val="en-US" w:eastAsia="zh-CN"/>
              </w:rPr>
              <w:t xml:space="preserve"> 25 </w:t>
            </w:r>
            <w:r>
              <w:rPr>
                <w:rFonts w:hint="eastAsia" w:ascii="宋体" w:hAnsi="宋体"/>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（北京时间）。电话报名后可通过现场及网络方式获取招标文件。地点：北京清</w:t>
            </w:r>
            <w:r>
              <w:t>华长庚医院</w:t>
            </w:r>
            <w:r>
              <w:rPr>
                <w:rFonts w:hint="eastAsia"/>
              </w:rPr>
              <w:t>2</w:t>
            </w:r>
            <w:r>
              <w:t>#楼</w:t>
            </w:r>
            <w:r>
              <w:rPr>
                <w:rFonts w:hint="eastAsia"/>
              </w:rPr>
              <w:t>。联</w:t>
            </w:r>
            <w:r>
              <w:t>系人：</w:t>
            </w:r>
            <w:r>
              <w:rPr>
                <w:rFonts w:hint="eastAsia"/>
              </w:rPr>
              <w:t>李老师</w:t>
            </w:r>
            <w:r>
              <w:t>，联系电话：561188</w:t>
            </w:r>
            <w:r>
              <w:rPr>
                <w:rFonts w:hint="eastAsia"/>
              </w:rPr>
              <w:t>13</w:t>
            </w:r>
          </w:p>
        </w:tc>
      </w:tr>
    </w:tbl>
    <w:p>
      <w:pPr>
        <w:pStyle w:val="4"/>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5"/>
        <w:ind w:firstLine="482"/>
      </w:pPr>
      <w:bookmarkStart w:id="6" w:name="_Toc395611380"/>
      <w:r>
        <w:rPr>
          <w:rFonts w:hint="eastAsia"/>
        </w:rPr>
        <w:t>总则</w:t>
      </w:r>
      <w:bookmarkEnd w:id="6"/>
    </w:p>
    <w:p>
      <w:pPr>
        <w:pStyle w:val="6"/>
        <w:ind w:left="103" w:leftChars="0" w:firstLineChars="0"/>
      </w:pPr>
      <w:r>
        <w:rPr>
          <w:rFonts w:hint="eastAsia"/>
        </w:rPr>
        <w:t>工程说明</w:t>
      </w:r>
    </w:p>
    <w:p>
      <w:pPr>
        <w:pStyle w:val="7"/>
        <w:ind w:firstLine="420"/>
      </w:pPr>
      <w:r>
        <w:rPr>
          <w:rFonts w:hint="eastAsia"/>
        </w:rPr>
        <w:t>本招标工程项目说明详见本须知前附表第1项～第</w:t>
      </w:r>
      <w:r>
        <w:t>5</w:t>
      </w:r>
      <w:r>
        <w:rPr>
          <w:rFonts w:hint="eastAsia"/>
        </w:rPr>
        <w:t>项；</w:t>
      </w:r>
    </w:p>
    <w:p>
      <w:pPr>
        <w:pStyle w:val="7"/>
        <w:ind w:firstLine="420"/>
      </w:pPr>
      <w:r>
        <w:rPr>
          <w:rFonts w:hint="eastAsia"/>
        </w:rPr>
        <w:t>本招标工程项目按照《中华人民共和国招标投标法》、《中华人民共和国建筑法》、《中华人民共和国合同法》等有关法律、法规和规章，通过招标方式选定承包人。</w:t>
      </w:r>
    </w:p>
    <w:p>
      <w:pPr>
        <w:pStyle w:val="7"/>
        <w:ind w:firstLine="420"/>
      </w:pPr>
      <w:r>
        <w:rPr>
          <w:rFonts w:hint="eastAsia"/>
        </w:rPr>
        <w:t>工程概况：</w:t>
      </w:r>
    </w:p>
    <w:p>
      <w:pPr>
        <w:adjustRightInd w:val="0"/>
        <w:snapToGrid w:val="0"/>
        <w:ind w:firstLine="420"/>
        <w:rPr>
          <w:rFonts w:ascii="宋体" w:hAnsi="宋体"/>
          <w:b/>
          <w:bCs/>
          <w:szCs w:val="21"/>
          <w:u w:val="single"/>
        </w:rPr>
      </w:pPr>
      <w:r>
        <w:rPr>
          <w:rFonts w:hint="eastAsia"/>
        </w:rPr>
        <w:t>项目名称：</w:t>
      </w:r>
      <w:r>
        <w:rPr>
          <w:rFonts w:hint="eastAsia" w:ascii="宋体" w:hAnsi="宋体" w:eastAsia="宋体" w:cs="Times New Roman"/>
          <w:b/>
          <w:bCs/>
          <w:kern w:val="2"/>
          <w:sz w:val="21"/>
          <w:szCs w:val="24"/>
          <w:u w:val="single"/>
          <w:lang w:val="en-US" w:eastAsia="zh-CN" w:bidi="ar-SA"/>
        </w:rPr>
        <w:t>新公寓智慧用电管理系统</w:t>
      </w:r>
    </w:p>
    <w:p>
      <w:pPr>
        <w:pStyle w:val="8"/>
        <w:ind w:firstLine="516" w:firstLineChars="246"/>
      </w:pPr>
      <w:r>
        <w:rPr>
          <w:rFonts w:hint="eastAsia"/>
        </w:rPr>
        <w:t>招 标 人：北京清华</w:t>
      </w:r>
      <w:r>
        <w:t>长庚</w:t>
      </w:r>
      <w:r>
        <w:rPr>
          <w:rFonts w:hint="eastAsia"/>
        </w:rPr>
        <w:t>医院</w:t>
      </w:r>
    </w:p>
    <w:p>
      <w:pPr>
        <w:pStyle w:val="8"/>
        <w:ind w:firstLine="516" w:firstLineChars="246"/>
      </w:pPr>
      <w:r>
        <w:rPr>
          <w:rFonts w:hint="eastAsia"/>
        </w:rPr>
        <w:t>地    址：北京市昌平区立汤路168号</w:t>
      </w:r>
    </w:p>
    <w:p>
      <w:pPr>
        <w:pStyle w:val="6"/>
        <w:ind w:left="103" w:leftChars="0" w:firstLineChars="0"/>
      </w:pPr>
      <w:r>
        <w:rPr>
          <w:rFonts w:hint="eastAsia"/>
        </w:rPr>
        <w:t>招标范围及工期</w:t>
      </w:r>
    </w:p>
    <w:p>
      <w:pPr>
        <w:pStyle w:val="7"/>
        <w:ind w:firstLine="420"/>
      </w:pPr>
      <w:r>
        <w:rPr>
          <w:rFonts w:hint="eastAsia"/>
        </w:rPr>
        <w:t>本招标工程项目的范围详见本须知前附表第6项。</w:t>
      </w:r>
    </w:p>
    <w:p>
      <w:pPr>
        <w:pStyle w:val="7"/>
        <w:ind w:firstLine="420"/>
      </w:pPr>
      <w:r>
        <w:rPr>
          <w:rFonts w:hint="eastAsia"/>
        </w:rPr>
        <w:t>本招标工程项目的工期要求详见本须知前附表第7项。</w:t>
      </w:r>
    </w:p>
    <w:p>
      <w:pPr>
        <w:pStyle w:val="7"/>
        <w:ind w:firstLine="420"/>
      </w:pPr>
      <w:r>
        <w:rPr>
          <w:rFonts w:hint="eastAsia"/>
        </w:rPr>
        <w:t>本招标工程项目的质量要求详见本须知前附表第</w:t>
      </w:r>
      <w:r>
        <w:t>5</w:t>
      </w:r>
      <w:r>
        <w:rPr>
          <w:rFonts w:hint="eastAsia"/>
        </w:rPr>
        <w:t>项。</w:t>
      </w:r>
    </w:p>
    <w:p>
      <w:pPr>
        <w:pStyle w:val="6"/>
        <w:ind w:left="103" w:leftChars="0" w:firstLineChars="0"/>
      </w:pPr>
      <w:r>
        <w:rPr>
          <w:rFonts w:hint="eastAsia"/>
        </w:rPr>
        <w:t>资金来源</w:t>
      </w:r>
    </w:p>
    <w:p>
      <w:pPr>
        <w:pStyle w:val="7"/>
        <w:ind w:firstLine="420"/>
      </w:pPr>
      <w:r>
        <w:rPr>
          <w:rFonts w:hint="eastAsia"/>
        </w:rPr>
        <w:t>本招标工程项目资金来源详见投标须知前附表第8项，其中部分资金用于本工程项目施工合同项下的合格支付。</w:t>
      </w:r>
    </w:p>
    <w:p>
      <w:pPr>
        <w:pStyle w:val="6"/>
        <w:ind w:left="103" w:leftChars="0" w:firstLineChars="0"/>
      </w:pPr>
      <w:r>
        <w:rPr>
          <w:rFonts w:hint="eastAsia"/>
        </w:rPr>
        <w:t>合格的投标人</w:t>
      </w:r>
    </w:p>
    <w:p>
      <w:pPr>
        <w:pStyle w:val="7"/>
        <w:ind w:firstLine="420"/>
      </w:pPr>
      <w:r>
        <w:rPr>
          <w:rFonts w:hint="eastAsia"/>
        </w:rPr>
        <w:t>投</w:t>
      </w:r>
      <w:r>
        <w:t>标人应具备承担本项目施工的资质条件、能力和信誉。</w:t>
      </w:r>
    </w:p>
    <w:p>
      <w:pPr>
        <w:pStyle w:val="9"/>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9"/>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9"/>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9"/>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9"/>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7"/>
        <w:ind w:firstLine="420"/>
      </w:pPr>
      <w:r>
        <w:rPr>
          <w:rFonts w:hint="eastAsia"/>
        </w:rPr>
        <w:t>投标人合格条件详见本招标工程施工招标公告。</w:t>
      </w:r>
    </w:p>
    <w:p>
      <w:pPr>
        <w:pStyle w:val="7"/>
        <w:ind w:firstLine="420"/>
      </w:pPr>
      <w:r>
        <w:rPr>
          <w:rFonts w:hint="eastAsia"/>
        </w:rPr>
        <w:t>投</w:t>
      </w:r>
      <w:r>
        <w:t>标人不得存在下列情形</w:t>
      </w:r>
      <w:r>
        <w:rPr>
          <w:rFonts w:hint="eastAsia"/>
        </w:rPr>
        <w:t>之</w:t>
      </w:r>
      <w:r>
        <w:t>一</w:t>
      </w:r>
      <w:r>
        <w:rPr>
          <w:rFonts w:hint="eastAsia"/>
        </w:rPr>
        <w:t>。</w:t>
      </w:r>
    </w:p>
    <w:p>
      <w:pPr>
        <w:pStyle w:val="8"/>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9"/>
        <w:rPr>
          <w:color w:val="auto"/>
        </w:rPr>
      </w:pPr>
      <w:r>
        <w:rPr>
          <w:color w:val="auto"/>
        </w:rPr>
        <w:t>4.3.2</w:t>
      </w:r>
      <w:r>
        <w:rPr>
          <w:rFonts w:hint="eastAsia"/>
          <w:color w:val="auto"/>
        </w:rPr>
        <w:t>为</w:t>
      </w:r>
      <w:r>
        <w:rPr>
          <w:color w:val="auto"/>
        </w:rPr>
        <w:t>本招标项目前期准备提供设计或咨询服务的。</w:t>
      </w:r>
    </w:p>
    <w:p>
      <w:pPr>
        <w:pStyle w:val="8"/>
      </w:pPr>
      <w:r>
        <w:rPr>
          <w:rFonts w:hint="eastAsia"/>
        </w:rPr>
        <w:t>4</w:t>
      </w:r>
      <w:r>
        <w:t>.3.3</w:t>
      </w:r>
      <w:r>
        <w:rPr>
          <w:rFonts w:hint="eastAsia"/>
        </w:rPr>
        <w:t>为</w:t>
      </w:r>
      <w:r>
        <w:t>本招标项目的监理人的。</w:t>
      </w:r>
    </w:p>
    <w:p>
      <w:pPr>
        <w:pStyle w:val="9"/>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8"/>
        <w:ind w:firstLine="210" w:firstLineChars="100"/>
      </w:pPr>
      <w:r>
        <w:rPr>
          <w:rFonts w:hint="eastAsia"/>
        </w:rPr>
        <w:t xml:space="preserve"> 4</w:t>
      </w:r>
      <w:r>
        <w:t>.3.5</w:t>
      </w:r>
      <w:r>
        <w:rPr>
          <w:rFonts w:hint="eastAsia"/>
        </w:rPr>
        <w:t>为</w:t>
      </w:r>
      <w:r>
        <w:t>本招标项目提供招标代理报务的。</w:t>
      </w:r>
    </w:p>
    <w:p>
      <w:pPr>
        <w:pStyle w:val="8"/>
      </w:pPr>
      <w:r>
        <w:t xml:space="preserve">   4.3.6</w:t>
      </w:r>
      <w:r>
        <w:rPr>
          <w:rFonts w:hint="eastAsia"/>
        </w:rPr>
        <w:t>与</w:t>
      </w:r>
      <w:r>
        <w:t>本招标项目的监理人或代建人或招标代理机构同</w:t>
      </w:r>
      <w:r>
        <w:rPr>
          <w:rFonts w:hint="eastAsia"/>
        </w:rPr>
        <w:t>为一</w:t>
      </w:r>
      <w:r>
        <w:t>个法定代表人的。</w:t>
      </w:r>
    </w:p>
    <w:p>
      <w:pPr>
        <w:pStyle w:val="8"/>
      </w:pPr>
      <w:r>
        <w:t xml:space="preserve">   4.3.7</w:t>
      </w:r>
      <w:r>
        <w:rPr>
          <w:rFonts w:hint="eastAsia"/>
        </w:rPr>
        <w:t>与</w:t>
      </w:r>
      <w:r>
        <w:t>本招标项目的监理人或代建人或招标代理机构</w:t>
      </w:r>
      <w:r>
        <w:rPr>
          <w:rFonts w:hint="eastAsia"/>
        </w:rPr>
        <w:t>相互</w:t>
      </w:r>
      <w:r>
        <w:t>控股或参股的。</w:t>
      </w:r>
    </w:p>
    <w:p>
      <w:pPr>
        <w:pStyle w:val="8"/>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8"/>
      </w:pPr>
      <w:r>
        <w:rPr>
          <w:rFonts w:hint="eastAsia"/>
        </w:rPr>
        <w:t>4</w:t>
      </w:r>
      <w:r>
        <w:t>.3.9</w:t>
      </w:r>
      <w:r>
        <w:rPr>
          <w:rFonts w:hint="eastAsia"/>
        </w:rPr>
        <w:t>被</w:t>
      </w:r>
      <w:r>
        <w:t>责令</w:t>
      </w:r>
      <w:r>
        <w:rPr>
          <w:rFonts w:hint="eastAsia"/>
        </w:rPr>
        <w:t>停业</w:t>
      </w:r>
      <w:r>
        <w:t>的。</w:t>
      </w:r>
    </w:p>
    <w:p>
      <w:pPr>
        <w:pStyle w:val="8"/>
        <w:ind w:firstLine="315" w:firstLineChars="150"/>
      </w:pPr>
      <w:r>
        <w:rPr>
          <w:rFonts w:hint="eastAsia"/>
        </w:rPr>
        <w:t>4</w:t>
      </w:r>
      <w:r>
        <w:t>.3.10</w:t>
      </w:r>
      <w:r>
        <w:rPr>
          <w:rFonts w:hint="eastAsia"/>
        </w:rPr>
        <w:t>被</w:t>
      </w:r>
      <w:r>
        <w:t>暂停或取消投票资格的。</w:t>
      </w:r>
    </w:p>
    <w:p>
      <w:pPr>
        <w:pStyle w:val="8"/>
        <w:ind w:firstLine="315" w:firstLineChars="150"/>
      </w:pPr>
      <w:r>
        <w:rPr>
          <w:rFonts w:hint="eastAsia"/>
        </w:rPr>
        <w:t>4</w:t>
      </w:r>
      <w:r>
        <w:t>.3.11</w:t>
      </w:r>
      <w:r>
        <w:rPr>
          <w:rFonts w:hint="eastAsia"/>
        </w:rPr>
        <w:t>财产</w:t>
      </w:r>
      <w:r>
        <w:t>被接管或冻结的。</w:t>
      </w:r>
    </w:p>
    <w:p>
      <w:pPr>
        <w:pStyle w:val="8"/>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7"/>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7"/>
        <w:ind w:firstLine="420"/>
      </w:pPr>
      <w:r>
        <w:rPr>
          <w:rFonts w:hint="eastAsia"/>
        </w:rPr>
        <w:t>本招标工程项目采用本须知前附表第10项所述的资格审查方式确定合格投标人。</w:t>
      </w:r>
    </w:p>
    <w:p>
      <w:pPr>
        <w:pStyle w:val="6"/>
        <w:ind w:left="103" w:leftChars="0" w:firstLineChars="0"/>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6"/>
        <w:ind w:left="103" w:leftChars="0" w:firstLineChars="0"/>
      </w:pPr>
      <w:r>
        <w:rPr>
          <w:rFonts w:hint="eastAsia"/>
        </w:rPr>
        <w:t>投标费用</w:t>
      </w:r>
    </w:p>
    <w:p>
      <w:pPr>
        <w:pStyle w:val="7"/>
        <w:ind w:firstLine="420"/>
      </w:pPr>
      <w:r>
        <w:rPr>
          <w:rFonts w:hint="eastAsia"/>
        </w:rPr>
        <w:t>投标人应承担其参加本招标活动自身所发生的费用；</w:t>
      </w:r>
    </w:p>
    <w:p>
      <w:pPr>
        <w:pStyle w:val="6"/>
        <w:ind w:left="103" w:leftChars="0" w:firstLineChars="0"/>
      </w:pPr>
      <w:r>
        <w:rPr>
          <w:rFonts w:hint="eastAsia"/>
        </w:rPr>
        <w:t>保密</w:t>
      </w:r>
      <w:r>
        <w:t>事项</w:t>
      </w:r>
    </w:p>
    <w:p>
      <w:pPr>
        <w:pStyle w:val="7"/>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5"/>
        <w:ind w:firstLine="482"/>
      </w:pPr>
      <w:bookmarkStart w:id="7" w:name="_Toc395611381"/>
      <w:r>
        <w:rPr>
          <w:rFonts w:hint="eastAsia"/>
        </w:rPr>
        <w:t>招标文件</w:t>
      </w:r>
      <w:bookmarkEnd w:id="7"/>
    </w:p>
    <w:p>
      <w:pPr>
        <w:pStyle w:val="6"/>
        <w:ind w:left="103" w:leftChars="0" w:firstLineChars="0"/>
      </w:pPr>
      <w:r>
        <w:rPr>
          <w:rFonts w:hint="eastAsia"/>
        </w:rPr>
        <w:t>招标文件的组成</w:t>
      </w:r>
    </w:p>
    <w:p>
      <w:pPr>
        <w:pStyle w:val="7"/>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7"/>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7"/>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6"/>
        <w:ind w:left="103" w:leftChars="0" w:firstLineChars="0"/>
      </w:pPr>
      <w:r>
        <w:rPr>
          <w:rFonts w:hint="eastAsia"/>
        </w:rPr>
        <w:t>招标文件的澄清</w:t>
      </w:r>
    </w:p>
    <w:p>
      <w:pPr>
        <w:pStyle w:val="7"/>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6"/>
        <w:ind w:left="103" w:leftChars="0" w:firstLineChars="0"/>
      </w:pPr>
      <w:r>
        <w:rPr>
          <w:rFonts w:hint="eastAsia"/>
        </w:rPr>
        <w:t>招标文件的修改</w:t>
      </w:r>
    </w:p>
    <w:p>
      <w:pPr>
        <w:pStyle w:val="7"/>
        <w:ind w:firstLine="420"/>
      </w:pPr>
      <w:r>
        <w:rPr>
          <w:rFonts w:hint="eastAsia"/>
        </w:rPr>
        <w:t>招标文件发出后，在提交投标文件截止时间</w:t>
      </w:r>
      <w:r>
        <w:t>1</w:t>
      </w:r>
      <w:r>
        <w:rPr>
          <w:rFonts w:hint="eastAsia"/>
        </w:rPr>
        <w:t>日前，招标人可对招标文件进行必要的澄清或修改。</w:t>
      </w:r>
    </w:p>
    <w:p>
      <w:pPr>
        <w:pStyle w:val="7"/>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7"/>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7"/>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8"/>
      </w:pPr>
    </w:p>
    <w:p>
      <w:pPr>
        <w:pStyle w:val="5"/>
        <w:ind w:firstLine="482"/>
      </w:pPr>
      <w:bookmarkStart w:id="8" w:name="_Toc395611382"/>
      <w:r>
        <w:rPr>
          <w:rFonts w:hint="eastAsia"/>
        </w:rPr>
        <w:t>投标文件的编制</w:t>
      </w:r>
      <w:bookmarkEnd w:id="8"/>
    </w:p>
    <w:p>
      <w:pPr>
        <w:pStyle w:val="6"/>
        <w:ind w:left="103" w:leftChars="0" w:firstLineChars="0"/>
      </w:pPr>
      <w:r>
        <w:rPr>
          <w:rFonts w:hint="eastAsia"/>
        </w:rPr>
        <w:t>投标文件的语言及度量衡单位</w:t>
      </w:r>
    </w:p>
    <w:p>
      <w:pPr>
        <w:pStyle w:val="7"/>
        <w:ind w:firstLine="420"/>
      </w:pPr>
      <w:r>
        <w:rPr>
          <w:rFonts w:hint="eastAsia"/>
        </w:rPr>
        <w:t>投标文件和与投标有关的所有文件均应使用简体中文。</w:t>
      </w:r>
    </w:p>
    <w:p>
      <w:pPr>
        <w:pStyle w:val="7"/>
        <w:ind w:firstLine="420"/>
      </w:pPr>
      <w:r>
        <w:rPr>
          <w:rFonts w:hint="eastAsia"/>
        </w:rPr>
        <w:t>除工程规范另有规定外，投标文件使的度量衡单位，均采用中华人民共和国法定计量单位。</w:t>
      </w:r>
    </w:p>
    <w:p>
      <w:pPr>
        <w:pStyle w:val="6"/>
        <w:ind w:left="103" w:leftChars="0" w:firstLineChars="0"/>
      </w:pPr>
      <w:r>
        <w:rPr>
          <w:rFonts w:hint="eastAsia"/>
        </w:rPr>
        <w:t>投标文件的组成</w:t>
      </w:r>
    </w:p>
    <w:p>
      <w:pPr>
        <w:pStyle w:val="7"/>
        <w:ind w:firstLine="420"/>
      </w:pPr>
      <w:r>
        <w:rPr>
          <w:rFonts w:hint="eastAsia"/>
        </w:rPr>
        <w:t>投标文件由商务标、经济标部分和技术标部分三部分组成。</w:t>
      </w:r>
    </w:p>
    <w:p>
      <w:pPr>
        <w:pStyle w:val="7"/>
        <w:ind w:firstLine="420"/>
      </w:pPr>
      <w:r>
        <w:rPr>
          <w:rFonts w:hint="eastAsia"/>
        </w:rPr>
        <w:t>商务标部分主要包括下列内容：</w:t>
      </w:r>
    </w:p>
    <w:p>
      <w:pPr>
        <w:pStyle w:val="8"/>
        <w:ind w:firstLine="735" w:firstLineChars="350"/>
      </w:pPr>
      <w:r>
        <w:rPr>
          <w:rFonts w:hint="eastAsia"/>
        </w:rPr>
        <w:t>投标函；</w:t>
      </w:r>
    </w:p>
    <w:p>
      <w:pPr>
        <w:pStyle w:val="8"/>
        <w:ind w:firstLine="735" w:firstLineChars="350"/>
      </w:pPr>
      <w:r>
        <w:rPr>
          <w:rFonts w:hint="eastAsia"/>
        </w:rPr>
        <w:t>法定代表人身份证明书；</w:t>
      </w:r>
    </w:p>
    <w:p>
      <w:pPr>
        <w:pStyle w:val="8"/>
        <w:ind w:firstLine="735" w:firstLineChars="350"/>
      </w:pPr>
      <w:r>
        <w:rPr>
          <w:rFonts w:hint="eastAsia"/>
        </w:rPr>
        <w:t>投标文件签署授权委托书（如</w:t>
      </w:r>
      <w:r>
        <w:t>有）</w:t>
      </w:r>
      <w:r>
        <w:rPr>
          <w:rFonts w:hint="eastAsia"/>
        </w:rPr>
        <w:t>；</w:t>
      </w:r>
    </w:p>
    <w:p>
      <w:pPr>
        <w:pStyle w:val="8"/>
        <w:ind w:firstLine="735" w:firstLineChars="350"/>
      </w:pPr>
      <w:r>
        <w:rPr>
          <w:rFonts w:hint="eastAsia"/>
        </w:rPr>
        <w:t>营业执照（复印件，加盖公章）；</w:t>
      </w:r>
    </w:p>
    <w:p>
      <w:pPr>
        <w:pStyle w:val="8"/>
        <w:ind w:firstLine="735" w:firstLineChars="350"/>
      </w:pPr>
      <w:r>
        <w:rPr>
          <w:rFonts w:hint="eastAsia"/>
        </w:rPr>
        <w:t>资质证书（复印件，加盖公章）；</w:t>
      </w:r>
    </w:p>
    <w:p>
      <w:pPr>
        <w:pStyle w:val="8"/>
        <w:ind w:firstLine="735" w:firstLineChars="350"/>
      </w:pPr>
      <w:r>
        <w:rPr>
          <w:rFonts w:hint="eastAsia"/>
        </w:rPr>
        <w:t>安全生产许可证（复印件，加盖公章）；</w:t>
      </w:r>
    </w:p>
    <w:p>
      <w:pPr>
        <w:pStyle w:val="9"/>
        <w:rPr>
          <w:color w:val="auto"/>
        </w:rPr>
      </w:pPr>
      <w:r>
        <w:rPr>
          <w:rFonts w:hint="eastAsia"/>
          <w:color w:val="auto"/>
        </w:rPr>
        <w:t>承诺书</w:t>
      </w:r>
      <w:r>
        <w:rPr>
          <w:color w:val="auto"/>
        </w:rPr>
        <w:t>：</w:t>
      </w:r>
      <w:r>
        <w:rPr>
          <w:rFonts w:hint="eastAsia"/>
          <w:color w:val="auto"/>
        </w:rPr>
        <w:t>投标人在近三年内（2018年</w:t>
      </w:r>
      <w:r>
        <w:rPr>
          <w:color w:val="auto"/>
        </w:rPr>
        <w:t>06</w:t>
      </w:r>
      <w:r>
        <w:rPr>
          <w:rFonts w:hint="eastAsia"/>
          <w:color w:val="auto"/>
        </w:rPr>
        <w:t>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9"/>
        <w:rPr>
          <w:color w:val="auto"/>
        </w:rPr>
      </w:pPr>
      <w:r>
        <w:rPr>
          <w:rFonts w:hint="eastAsia"/>
          <w:color w:val="auto"/>
        </w:rPr>
        <w:t>拟派项目经理学历证书、</w:t>
      </w:r>
      <w:r>
        <w:rPr>
          <w:color w:val="auto"/>
        </w:rPr>
        <w:t>资格证书</w:t>
      </w:r>
      <w:r>
        <w:rPr>
          <w:rFonts w:hint="eastAsia"/>
          <w:color w:val="auto"/>
        </w:rPr>
        <w:t>（复印件，加盖公章）；</w:t>
      </w:r>
    </w:p>
    <w:p>
      <w:pPr>
        <w:pStyle w:val="7"/>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8"/>
        <w:ind w:firstLine="420" w:firstLineChars="200"/>
      </w:pPr>
      <w:r>
        <w:rPr>
          <w:rFonts w:hint="eastAsia"/>
        </w:rPr>
        <w:t>（1</w:t>
      </w:r>
      <w:r>
        <w:t>）</w:t>
      </w:r>
      <w:r>
        <w:rPr>
          <w:rFonts w:hint="eastAsia"/>
        </w:rPr>
        <w:t>投</w:t>
      </w:r>
      <w:r>
        <w:t>标总价（</w:t>
      </w:r>
      <w:r>
        <w:rPr>
          <w:rFonts w:hint="eastAsia"/>
        </w:rPr>
        <w:t>封-3</w:t>
      </w:r>
      <w:r>
        <w:t>）</w:t>
      </w:r>
    </w:p>
    <w:p>
      <w:pPr>
        <w:pStyle w:val="8"/>
        <w:ind w:firstLine="420" w:firstLineChars="200"/>
      </w:pPr>
      <w:r>
        <w:rPr>
          <w:rFonts w:hint="eastAsia"/>
        </w:rPr>
        <w:t>（2</w:t>
      </w:r>
      <w:r>
        <w:t>）</w:t>
      </w:r>
      <w:r>
        <w:rPr>
          <w:rFonts w:hint="eastAsia"/>
        </w:rPr>
        <w:t>总</w:t>
      </w:r>
      <w:r>
        <w:t>说明（</w:t>
      </w:r>
      <w:r>
        <w:rPr>
          <w:rFonts w:hint="eastAsia"/>
        </w:rPr>
        <w:t>表-01</w:t>
      </w:r>
      <w:r>
        <w:t>）</w:t>
      </w:r>
    </w:p>
    <w:p>
      <w:pPr>
        <w:pStyle w:val="8"/>
        <w:ind w:firstLine="420" w:firstLineChars="200"/>
      </w:pPr>
      <w:r>
        <w:rPr>
          <w:rFonts w:hint="eastAsia"/>
        </w:rPr>
        <w:t>（3</w:t>
      </w:r>
      <w:r>
        <w:t>）</w:t>
      </w:r>
      <w:r>
        <w:rPr>
          <w:rFonts w:hint="eastAsia"/>
        </w:rPr>
        <w:t>工程</w:t>
      </w:r>
      <w:r>
        <w:t>项目投标报价汇总表（</w:t>
      </w:r>
      <w:r>
        <w:rPr>
          <w:rFonts w:hint="eastAsia"/>
        </w:rPr>
        <w:t>表-02</w:t>
      </w:r>
      <w:r>
        <w:t>）</w:t>
      </w:r>
    </w:p>
    <w:p>
      <w:pPr>
        <w:pStyle w:val="8"/>
        <w:ind w:firstLine="420" w:firstLineChars="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8"/>
        <w:ind w:firstLine="420" w:firstLineChars="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8"/>
        <w:ind w:firstLine="420" w:firstLineChars="200"/>
      </w:pPr>
      <w:r>
        <w:rPr>
          <w:rFonts w:hint="eastAsia"/>
        </w:rPr>
        <w:t>（6</w:t>
      </w:r>
      <w:r>
        <w:t>）</w:t>
      </w:r>
      <w:r>
        <w:rPr>
          <w:rFonts w:hint="eastAsia"/>
        </w:rPr>
        <w:t>措施</w:t>
      </w:r>
      <w:r>
        <w:t>项目清单与计价表</w:t>
      </w:r>
      <w:r>
        <w:rPr>
          <w:rFonts w:hint="eastAsia"/>
        </w:rPr>
        <w:t>（一</w:t>
      </w:r>
      <w:r>
        <w:t>）</w:t>
      </w:r>
      <w:r>
        <w:rPr>
          <w:rFonts w:hint="eastAsia"/>
        </w:rPr>
        <w:t>(表-08)</w:t>
      </w:r>
    </w:p>
    <w:p>
      <w:pPr>
        <w:pStyle w:val="8"/>
        <w:ind w:firstLine="420" w:firstLineChars="200"/>
      </w:pPr>
      <w:r>
        <w:rPr>
          <w:rFonts w:hint="eastAsia"/>
        </w:rPr>
        <w:t>（7</w:t>
      </w:r>
      <w:r>
        <w:t>）</w:t>
      </w:r>
      <w:r>
        <w:rPr>
          <w:rFonts w:hint="eastAsia"/>
        </w:rPr>
        <w:t>规费</w:t>
      </w:r>
      <w:r>
        <w:t>、税金项目清单与计价表（</w:t>
      </w:r>
      <w:r>
        <w:rPr>
          <w:rFonts w:hint="eastAsia"/>
        </w:rPr>
        <w:t>表-11</w:t>
      </w:r>
      <w:r>
        <w:t>）</w:t>
      </w:r>
    </w:p>
    <w:p>
      <w:pPr>
        <w:pStyle w:val="8"/>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ind w:firstLine="420" w:firstLineChars="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8"/>
        <w:ind w:firstLine="420" w:firstLineChars="200"/>
      </w:pPr>
      <w:r>
        <w:rPr>
          <w:rFonts w:hint="eastAsia"/>
        </w:rPr>
        <w:t>（1</w:t>
      </w:r>
      <w:r>
        <w:t>0</w:t>
      </w:r>
      <w:r>
        <w:rPr>
          <w:rFonts w:hint="eastAsia"/>
        </w:rPr>
        <w:t>）主</w:t>
      </w:r>
      <w:r>
        <w:t>要材料选型表</w:t>
      </w:r>
    </w:p>
    <w:p>
      <w:pPr>
        <w:pStyle w:val="7"/>
        <w:ind w:firstLine="420"/>
      </w:pPr>
      <w:r>
        <w:rPr>
          <w:rFonts w:hint="eastAsia"/>
        </w:rPr>
        <w:t>技术标主要包括下列内容：</w:t>
      </w:r>
    </w:p>
    <w:p>
      <w:pPr>
        <w:pStyle w:val="8"/>
        <w:ind w:firstLine="420" w:firstLineChars="200"/>
      </w:pPr>
      <w:r>
        <w:rPr>
          <w:rFonts w:hint="eastAsia"/>
        </w:rPr>
        <w:t>施工组织设计</w:t>
      </w:r>
    </w:p>
    <w:p>
      <w:pPr>
        <w:pStyle w:val="8"/>
        <w:ind w:firstLine="420" w:firstLineChars="200"/>
      </w:pPr>
      <w:r>
        <w:rPr>
          <w:rFonts w:hint="eastAsia"/>
        </w:rPr>
        <w:t>（1</w:t>
      </w:r>
      <w:r>
        <w:t>）</w:t>
      </w:r>
      <w:r>
        <w:rPr>
          <w:rFonts w:hint="eastAsia"/>
        </w:rPr>
        <w:t>拟投入的主要施工机械设备表；</w:t>
      </w:r>
    </w:p>
    <w:p>
      <w:pPr>
        <w:pStyle w:val="8"/>
        <w:ind w:firstLine="420" w:firstLineChars="200"/>
      </w:pPr>
      <w:r>
        <w:rPr>
          <w:rFonts w:hint="eastAsia"/>
        </w:rPr>
        <w:t>（2</w:t>
      </w:r>
      <w:r>
        <w:t>）</w:t>
      </w:r>
      <w:r>
        <w:rPr>
          <w:rFonts w:hint="eastAsia"/>
        </w:rPr>
        <w:t>劳动力计划表；</w:t>
      </w:r>
    </w:p>
    <w:p>
      <w:pPr>
        <w:pStyle w:val="8"/>
        <w:ind w:firstLine="420" w:firstLineChars="200"/>
      </w:pPr>
      <w:r>
        <w:rPr>
          <w:rFonts w:hint="eastAsia"/>
        </w:rPr>
        <w:t>（</w:t>
      </w:r>
      <w:r>
        <w:t>3）</w:t>
      </w:r>
      <w:r>
        <w:rPr>
          <w:rFonts w:hint="eastAsia"/>
        </w:rPr>
        <w:t>计划开、竣工日期和施工进度网络图（必须提交网络图），施工进度的保证措施；</w:t>
      </w:r>
    </w:p>
    <w:p>
      <w:pPr>
        <w:pStyle w:val="8"/>
        <w:ind w:firstLine="420" w:firstLineChars="200"/>
      </w:pPr>
      <w:r>
        <w:rPr>
          <w:rFonts w:hint="eastAsia"/>
        </w:rPr>
        <w:t>（</w:t>
      </w:r>
      <w:r>
        <w:t>4）</w:t>
      </w:r>
      <w:r>
        <w:rPr>
          <w:rFonts w:hint="eastAsia"/>
        </w:rPr>
        <w:t>针对本工程的施工技术方案、重点难点方案，施工质量的保证措施；</w:t>
      </w:r>
    </w:p>
    <w:p>
      <w:pPr>
        <w:pStyle w:val="8"/>
        <w:ind w:firstLine="420" w:firstLineChars="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6"/>
        <w:ind w:left="103" w:leftChars="0" w:firstLineChars="0"/>
      </w:pPr>
      <w:r>
        <w:rPr>
          <w:rFonts w:hint="eastAsia"/>
        </w:rPr>
        <w:t>投标文件格式</w:t>
      </w:r>
    </w:p>
    <w:p>
      <w:pPr>
        <w:pStyle w:val="7"/>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6"/>
        <w:ind w:left="103" w:leftChars="0" w:firstLineChars="0"/>
      </w:pPr>
      <w:r>
        <w:rPr>
          <w:rFonts w:hint="eastAsia"/>
        </w:rPr>
        <w:t>计量依据、计价原则及有关规定</w:t>
      </w:r>
    </w:p>
    <w:p>
      <w:pPr>
        <w:pStyle w:val="7"/>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8"/>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8"/>
        <w:ind w:firstLine="420" w:firstLineChars="200"/>
      </w:pPr>
      <w:r>
        <w:t>14</w:t>
      </w:r>
      <w:r>
        <w:rPr>
          <w:rFonts w:hint="eastAsia"/>
        </w:rPr>
        <w:t>.1.2有关招标控制价的说明：所有投标人所填报的价格如果超过本项目的招标控制价则其投标文件一律不予接纳。</w:t>
      </w:r>
    </w:p>
    <w:p>
      <w:pPr>
        <w:pStyle w:val="8"/>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。招标文件中确定的工程项目</w:t>
      </w:r>
      <w:r>
        <w:rPr>
          <w:rFonts w:hint="eastAsia" w:ascii="Arial" w:hAnsi="Arial" w:cs="Arial"/>
          <w:szCs w:val="21"/>
        </w:rPr>
        <w:t>招标</w:t>
      </w:r>
      <w:r>
        <w:rPr>
          <w:rFonts w:ascii="Arial" w:hAnsi="Arial" w:cs="Arial"/>
          <w:szCs w:val="21"/>
        </w:rPr>
        <w:t>范围、工程量清单不予调整</w:t>
      </w:r>
      <w:r>
        <w:rPr>
          <w:rFonts w:hint="eastAsia" w:ascii="Arial" w:hAnsi="Arial" w:cs="Arial"/>
          <w:szCs w:val="21"/>
        </w:rPr>
        <w:t>。</w:t>
      </w:r>
    </w:p>
    <w:p>
      <w:pPr>
        <w:pStyle w:val="8"/>
        <w:ind w:firstLine="420" w:firstLineChars="200"/>
      </w:pPr>
      <w:r>
        <w:t>14</w:t>
      </w:r>
      <w:r>
        <w:rPr>
          <w:rFonts w:hint="eastAsia"/>
        </w:rPr>
        <w:t>.1.4投标人就根据招标文件附表备注中载明的范围进行汇总。</w:t>
      </w:r>
    </w:p>
    <w:p>
      <w:pPr>
        <w:pStyle w:val="8"/>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8"/>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8"/>
      </w:pPr>
      <w:r>
        <w:rPr>
          <w:rFonts w:hint="eastAsia"/>
        </w:rPr>
        <w:t>招标范围及工程量项目清单：详见附件</w:t>
      </w:r>
    </w:p>
    <w:p>
      <w:pPr>
        <w:pStyle w:val="7"/>
        <w:ind w:firstLine="420"/>
      </w:pPr>
      <w:r>
        <w:rPr>
          <w:rFonts w:hint="eastAsia"/>
        </w:rPr>
        <w:t>有关规定</w:t>
      </w:r>
    </w:p>
    <w:p>
      <w:pPr>
        <w:pStyle w:val="8"/>
      </w:pPr>
      <w:r>
        <w:rPr>
          <w:rFonts w:hint="eastAsia"/>
        </w:rPr>
        <w:t>本工程考虑工程</w:t>
      </w:r>
      <w:r>
        <w:t>量、价格等</w:t>
      </w:r>
      <w:r>
        <w:rPr>
          <w:rFonts w:hint="eastAsia"/>
        </w:rPr>
        <w:t>风险费，由投标单位自行测定报价，列入固定单价内。</w:t>
      </w:r>
    </w:p>
    <w:p>
      <w:pPr>
        <w:pStyle w:val="7"/>
        <w:ind w:firstLine="420"/>
      </w:pPr>
      <w:r>
        <w:rPr>
          <w:rFonts w:hint="eastAsia"/>
        </w:rPr>
        <w:t>其他需要说明的内容：</w:t>
      </w:r>
    </w:p>
    <w:p>
      <w:pPr>
        <w:pStyle w:val="8"/>
      </w:pPr>
      <w:r>
        <w:rPr>
          <w:rFonts w:hint="eastAsia"/>
        </w:rPr>
        <w:t>投标报价为投标人在投标文件中提出的各项支付金额的总和。</w:t>
      </w:r>
    </w:p>
    <w:p>
      <w:pPr>
        <w:pStyle w:val="8"/>
        <w:ind w:firstLine="420" w:firstLineChars="200"/>
      </w:pPr>
      <w:r>
        <w:rPr>
          <w:rFonts w:hint="eastAsia"/>
        </w:rPr>
        <w:t>投标报价应根据招标文件中有关要求，施工现场实际情况拟定的施工方案或施工组织设计，结合企业实力自主报价。</w:t>
      </w:r>
    </w:p>
    <w:p>
      <w:pPr>
        <w:pStyle w:val="8"/>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8"/>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8"/>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8"/>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7"/>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keepNext w:val="0"/>
        <w:keepLines w:val="0"/>
        <w:widowControl/>
        <w:suppressLineNumbers w:val="0"/>
        <w:jc w:val="left"/>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w:t>
      </w:r>
      <w:r>
        <w:rPr>
          <w:rFonts w:hint="eastAsia" w:ascii="宋体" w:hAnsi="宋体" w:eastAsia="宋体" w:cs="宋体"/>
          <w:color w:val="000000"/>
          <w:kern w:val="0"/>
          <w:sz w:val="24"/>
          <w:szCs w:val="24"/>
          <w:u w:val="single"/>
          <w:lang w:val="en-US" w:eastAsia="zh-CN" w:bidi="ar"/>
        </w:rPr>
        <w:t>546,318.56</w:t>
      </w:r>
      <w:r>
        <w:rPr>
          <w:rFonts w:hint="eastAsia"/>
          <w:highlight w:val="none"/>
          <w:u w:val="single"/>
          <w:lang w:val="en-US" w:eastAsia="zh-CN"/>
        </w:rPr>
        <w:t xml:space="preserve"> </w:t>
      </w:r>
      <w:r>
        <w:rPr>
          <w:rFonts w:hint="eastAsia"/>
        </w:rPr>
        <w:t>元，超过此报价的投标人将被拒绝。</w:t>
      </w:r>
    </w:p>
    <w:p>
      <w:pPr>
        <w:pStyle w:val="6"/>
        <w:ind w:left="103" w:leftChars="0" w:firstLineChars="0"/>
      </w:pPr>
      <w:r>
        <w:rPr>
          <w:rFonts w:hint="eastAsia"/>
        </w:rPr>
        <w:t>投标货币</w:t>
      </w:r>
    </w:p>
    <w:p>
      <w:pPr>
        <w:pStyle w:val="7"/>
        <w:ind w:firstLine="420"/>
      </w:pPr>
      <w:r>
        <w:rPr>
          <w:rFonts w:hint="eastAsia"/>
        </w:rPr>
        <w:t>本工程投标报价采用的币种为人民币。</w:t>
      </w:r>
    </w:p>
    <w:p>
      <w:pPr>
        <w:pStyle w:val="6"/>
        <w:ind w:left="103" w:leftChars="0" w:firstLineChars="0"/>
      </w:pPr>
      <w:r>
        <w:rPr>
          <w:rFonts w:hint="eastAsia"/>
        </w:rPr>
        <w:t>投标文件的份数和签署</w:t>
      </w:r>
    </w:p>
    <w:p>
      <w:pPr>
        <w:pStyle w:val="7"/>
        <w:ind w:firstLine="420"/>
      </w:pPr>
      <w:r>
        <w:rPr>
          <w:rFonts w:hint="eastAsia"/>
        </w:rPr>
        <w:t>投标人应按本须知前附表第 13项规定的份数提交投标文件。</w:t>
      </w:r>
    </w:p>
    <w:p>
      <w:pPr>
        <w:pStyle w:val="7"/>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7"/>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7"/>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9"/>
        <w:rPr>
          <w:color w:val="auto"/>
        </w:rPr>
      </w:pPr>
    </w:p>
    <w:p>
      <w:pPr>
        <w:pStyle w:val="5"/>
        <w:ind w:firstLine="482"/>
      </w:pPr>
      <w:bookmarkStart w:id="9" w:name="_Toc395611383"/>
      <w:r>
        <w:rPr>
          <w:rFonts w:hint="eastAsia"/>
        </w:rPr>
        <w:t>投标文件的提交</w:t>
      </w:r>
      <w:bookmarkEnd w:id="9"/>
    </w:p>
    <w:p>
      <w:pPr>
        <w:pStyle w:val="6"/>
        <w:ind w:left="103" w:leftChars="0" w:firstLineChars="0"/>
        <w:rPr>
          <w:b w:val="0"/>
        </w:rPr>
      </w:pPr>
      <w:r>
        <w:rPr>
          <w:rFonts w:hint="eastAsia"/>
          <w:b w:val="0"/>
        </w:rPr>
        <w:t>投标文件的装订、密封和标记</w:t>
      </w:r>
    </w:p>
    <w:p>
      <w:pPr>
        <w:pStyle w:val="6"/>
        <w:numPr>
          <w:ilvl w:val="0"/>
          <w:numId w:val="0"/>
        </w:numPr>
        <w:ind w:left="-105"/>
        <w:rPr>
          <w:b w:val="0"/>
        </w:rPr>
      </w:pPr>
      <w:r>
        <w:rPr>
          <w:b w:val="0"/>
        </w:rPr>
        <w:t>17</w:t>
      </w:r>
      <w:r>
        <w:rPr>
          <w:rFonts w:hint="eastAsia"/>
          <w:b w:val="0"/>
        </w:rPr>
        <w:t>.1投标文件的装订要求</w:t>
      </w:r>
    </w:p>
    <w:p>
      <w:pPr>
        <w:pStyle w:val="6"/>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6"/>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6"/>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7"/>
        <w:numPr>
          <w:ilvl w:val="0"/>
          <w:numId w:val="0"/>
        </w:numPr>
      </w:pPr>
      <w:r>
        <w:t>17</w:t>
      </w:r>
      <w:r>
        <w:rPr>
          <w:rFonts w:hint="eastAsia"/>
        </w:rPr>
        <w:t>.5在外层投标文件密封袋上均应：写明项目名称、招标人名称、截止时间；</w:t>
      </w:r>
    </w:p>
    <w:p>
      <w:pPr>
        <w:pStyle w:val="7"/>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7"/>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7"/>
        <w:numPr>
          <w:ilvl w:val="0"/>
          <w:numId w:val="0"/>
        </w:numPr>
      </w:pPr>
      <w:r>
        <w:t>17</w:t>
      </w:r>
      <w:r>
        <w:rPr>
          <w:rFonts w:hint="eastAsia"/>
        </w:rPr>
        <w:t>.8法人代表证明、授权委托书及委托代理人身份证复印件均需单独装订。</w:t>
      </w:r>
    </w:p>
    <w:p>
      <w:pPr>
        <w:pStyle w:val="6"/>
        <w:ind w:left="103" w:leftChars="0" w:firstLineChars="0"/>
      </w:pPr>
      <w:r>
        <w:rPr>
          <w:rFonts w:hint="eastAsia"/>
        </w:rPr>
        <w:t>投标文件的提交</w:t>
      </w:r>
    </w:p>
    <w:p>
      <w:pPr>
        <w:pStyle w:val="7"/>
        <w:ind w:firstLine="420"/>
      </w:pPr>
      <w:r>
        <w:rPr>
          <w:rFonts w:hint="eastAsia"/>
        </w:rPr>
        <w:t>投标人应按本须知前附表第</w:t>
      </w:r>
      <w:r>
        <w:t>14</w:t>
      </w:r>
      <w:r>
        <w:rPr>
          <w:rFonts w:hint="eastAsia"/>
        </w:rPr>
        <w:t>项所规定的地点，于截止时间前提交投标文件。</w:t>
      </w:r>
    </w:p>
    <w:p>
      <w:pPr>
        <w:pStyle w:val="6"/>
        <w:ind w:left="103" w:leftChars="0" w:firstLineChars="0"/>
      </w:pPr>
      <w:r>
        <w:rPr>
          <w:rFonts w:hint="eastAsia"/>
        </w:rPr>
        <w:t>投标文件提交的截止时间</w:t>
      </w:r>
    </w:p>
    <w:p>
      <w:pPr>
        <w:pStyle w:val="7"/>
        <w:ind w:firstLine="420"/>
      </w:pPr>
      <w:r>
        <w:rPr>
          <w:rFonts w:hint="eastAsia"/>
        </w:rPr>
        <w:t>投标文件的截止时间见本须知前附表第</w:t>
      </w:r>
      <w:r>
        <w:t>14</w:t>
      </w:r>
      <w:r>
        <w:rPr>
          <w:rFonts w:hint="eastAsia"/>
        </w:rPr>
        <w:t>项规定。</w:t>
      </w:r>
    </w:p>
    <w:p>
      <w:pPr>
        <w:pStyle w:val="7"/>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7"/>
        <w:ind w:firstLine="420"/>
      </w:pPr>
      <w:r>
        <w:rPr>
          <w:rFonts w:hint="eastAsia"/>
        </w:rPr>
        <w:t>到投标截止时间 止，招标人收到的投标文件少于3个的，招标人将依法重新组织招标。</w:t>
      </w:r>
    </w:p>
    <w:p>
      <w:pPr>
        <w:pStyle w:val="6"/>
        <w:ind w:left="103" w:leftChars="0" w:firstLineChars="0"/>
      </w:pPr>
      <w:r>
        <w:rPr>
          <w:rFonts w:hint="eastAsia"/>
        </w:rPr>
        <w:t>迟交的投标文件</w:t>
      </w:r>
    </w:p>
    <w:p>
      <w:pPr>
        <w:pStyle w:val="7"/>
        <w:ind w:firstLine="420"/>
      </w:pPr>
      <w:r>
        <w:rPr>
          <w:rFonts w:hint="eastAsia"/>
        </w:rPr>
        <w:t>招标人在本须知第</w:t>
      </w:r>
      <w:r>
        <w:t>18</w:t>
      </w:r>
      <w:r>
        <w:rPr>
          <w:rFonts w:hint="eastAsia"/>
        </w:rPr>
        <w:t>条规定的投标截止时间以后收到的投标文件，将被拒绝并退回给投标人。</w:t>
      </w:r>
    </w:p>
    <w:p>
      <w:pPr>
        <w:pStyle w:val="6"/>
        <w:ind w:left="103" w:leftChars="0" w:firstLineChars="0"/>
      </w:pPr>
      <w:r>
        <w:rPr>
          <w:rFonts w:hint="eastAsia"/>
        </w:rPr>
        <w:t>投标文件的补充、修改与撤回</w:t>
      </w:r>
    </w:p>
    <w:p>
      <w:pPr>
        <w:pStyle w:val="7"/>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7"/>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7"/>
        <w:ind w:firstLine="420"/>
      </w:pPr>
      <w:r>
        <w:rPr>
          <w:rFonts w:hint="eastAsia"/>
        </w:rPr>
        <w:t>在投标截止时间之后，投标人不得补充、修改投标文件。</w:t>
      </w:r>
    </w:p>
    <w:p>
      <w:pPr>
        <w:pStyle w:val="7"/>
        <w:ind w:firstLine="420"/>
      </w:pPr>
      <w:r>
        <w:rPr>
          <w:rFonts w:hint="eastAsia"/>
        </w:rPr>
        <w:t>在投标截止时间至投标有效期满之前，投标人不得撤回其投标文件，否则其投标保证金将被没收。</w:t>
      </w:r>
    </w:p>
    <w:p>
      <w:pPr>
        <w:pStyle w:val="8"/>
      </w:pPr>
    </w:p>
    <w:p>
      <w:pPr>
        <w:pStyle w:val="9"/>
        <w:rPr>
          <w:color w:val="auto"/>
        </w:rPr>
      </w:pPr>
    </w:p>
    <w:p>
      <w:pPr>
        <w:pStyle w:val="10"/>
      </w:pPr>
    </w:p>
    <w:p>
      <w:pPr>
        <w:pStyle w:val="11"/>
      </w:pPr>
    </w:p>
    <w:p>
      <w:pPr>
        <w:ind w:firstLine="420"/>
      </w:pPr>
    </w:p>
    <w:p>
      <w:pPr>
        <w:pStyle w:val="5"/>
        <w:ind w:firstLine="482"/>
      </w:pPr>
      <w:bookmarkStart w:id="10" w:name="_Toc395611384"/>
      <w:r>
        <w:rPr>
          <w:rFonts w:hint="eastAsia"/>
        </w:rPr>
        <w:t>开标</w:t>
      </w:r>
      <w:bookmarkEnd w:id="10"/>
    </w:p>
    <w:p>
      <w:pPr>
        <w:pStyle w:val="6"/>
        <w:ind w:left="103" w:leftChars="0" w:firstLineChars="0"/>
      </w:pPr>
      <w:r>
        <w:rPr>
          <w:rFonts w:hint="eastAsia"/>
        </w:rPr>
        <w:t>开标</w:t>
      </w:r>
    </w:p>
    <w:p>
      <w:pPr>
        <w:pStyle w:val="7"/>
        <w:ind w:firstLine="420"/>
      </w:pPr>
      <w:r>
        <w:rPr>
          <w:rFonts w:hint="eastAsia"/>
        </w:rPr>
        <w:t>招标人按本须知前附表第15项所规定的时间和地点公开开标，并邀请合格投标人参加。</w:t>
      </w:r>
    </w:p>
    <w:p>
      <w:pPr>
        <w:pStyle w:val="7"/>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7"/>
        <w:ind w:firstLine="420"/>
      </w:pPr>
      <w:r>
        <w:rPr>
          <w:rFonts w:hint="eastAsia"/>
        </w:rPr>
        <w:t>开标程序：</w:t>
      </w:r>
    </w:p>
    <w:p>
      <w:pPr>
        <w:pStyle w:val="8"/>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8"/>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8"/>
        <w:ind w:firstLine="420" w:firstLineChars="200"/>
      </w:pPr>
      <w:r>
        <w:rPr>
          <w:rFonts w:hint="eastAsia"/>
        </w:rPr>
        <w:t>在招标文件要求提交投标文件的截止时间前收到的投标文件，开标时都应当众予以拆封、宣读。</w:t>
      </w:r>
    </w:p>
    <w:p>
      <w:pPr>
        <w:pStyle w:val="6"/>
        <w:ind w:left="103" w:leftChars="0" w:firstLineChars="0"/>
      </w:pPr>
      <w:r>
        <w:rPr>
          <w:rFonts w:hint="eastAsia"/>
        </w:rPr>
        <w:t>投标文件的有效性（所有投标人如在投标文件中有与此部分内容不符、抵触的均会被招标人视为未能实质上响应招标文件而做否决投标处理）</w:t>
      </w:r>
    </w:p>
    <w:p>
      <w:pPr>
        <w:pStyle w:val="7"/>
        <w:ind w:firstLine="420"/>
      </w:pPr>
      <w:r>
        <w:rPr>
          <w:rFonts w:hint="eastAsia"/>
        </w:rPr>
        <w:t>开标时，投标文件出现下列情形之一的，应当作为无效投标文件，不得进入评标：</w:t>
      </w:r>
    </w:p>
    <w:p>
      <w:pPr>
        <w:pStyle w:val="7"/>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7"/>
        <w:ind w:firstLine="420"/>
      </w:pPr>
      <w:r>
        <w:rPr>
          <w:rFonts w:hint="eastAsia"/>
        </w:rPr>
        <w:t>根据现行相关法律法规的规定，应当由评标委员会进行评审确定予以否决投标的条件：</w:t>
      </w:r>
    </w:p>
    <w:p>
      <w:pPr>
        <w:pStyle w:val="8"/>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8"/>
        <w:ind w:firstLine="420" w:firstLineChars="200"/>
      </w:pPr>
      <w:r>
        <w:rPr>
          <w:rFonts w:hint="eastAsia"/>
        </w:rPr>
        <w:t>投标文件的关键内容字迹模糊、无法辨认的；</w:t>
      </w:r>
    </w:p>
    <w:p>
      <w:pPr>
        <w:pStyle w:val="8"/>
        <w:ind w:firstLine="420" w:firstLineChars="200"/>
      </w:pPr>
      <w:r>
        <w:rPr>
          <w:rFonts w:hint="eastAsia"/>
        </w:rPr>
        <w:t>投标人递交两份或多份内容不同的投标文件，或在一份投标文件中对同一招标项目保有两个或多个报价，未声明哪一个有效的；</w:t>
      </w:r>
    </w:p>
    <w:p>
      <w:pPr>
        <w:pStyle w:val="8"/>
        <w:ind w:firstLine="420" w:firstLineChars="200"/>
      </w:pPr>
      <w:r>
        <w:rPr>
          <w:rFonts w:hint="eastAsia"/>
        </w:rPr>
        <w:t>投标人以他人名义投标、串通投标、以行贿手段谋取中标或者以其他弄虚作假方式投标的；</w:t>
      </w:r>
    </w:p>
    <w:p>
      <w:pPr>
        <w:pStyle w:val="8"/>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9"/>
        <w:rPr>
          <w:color w:val="auto"/>
        </w:rPr>
      </w:pPr>
    </w:p>
    <w:p>
      <w:pPr>
        <w:pStyle w:val="8"/>
        <w:ind w:firstLine="420" w:firstLineChars="200"/>
      </w:pPr>
      <w:r>
        <w:rPr>
          <w:rFonts w:hint="eastAsia"/>
        </w:rPr>
        <w:t>投标人资格条件不符合国家有关规定和招标文件要求的；</w:t>
      </w:r>
    </w:p>
    <w:p>
      <w:pPr>
        <w:pStyle w:val="8"/>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7"/>
        <w:ind w:firstLine="420"/>
      </w:pPr>
      <w:r>
        <w:rPr>
          <w:rFonts w:hint="eastAsia"/>
        </w:rPr>
        <w:t>其他否决投标的条件：</w:t>
      </w:r>
    </w:p>
    <w:p>
      <w:pPr>
        <w:pStyle w:val="8"/>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8"/>
        <w:ind w:firstLine="420" w:firstLineChars="200"/>
      </w:pPr>
      <w:r>
        <w:rPr>
          <w:rFonts w:hint="eastAsia"/>
        </w:rPr>
        <w:t>开标时，扰乱会场秩序，经劝阻无效的；</w:t>
      </w:r>
    </w:p>
    <w:p>
      <w:pPr>
        <w:pStyle w:val="8"/>
        <w:ind w:firstLine="420" w:firstLineChars="200"/>
      </w:pPr>
      <w:r>
        <w:rPr>
          <w:rFonts w:hint="eastAsia"/>
        </w:rPr>
        <w:t>无正当理由拒不在开标会记录上签字的；</w:t>
      </w:r>
    </w:p>
    <w:p>
      <w:pPr>
        <w:pStyle w:val="8"/>
        <w:ind w:firstLine="420" w:firstLineChars="200"/>
      </w:pPr>
      <w:r>
        <w:rPr>
          <w:rFonts w:hint="eastAsia"/>
        </w:rPr>
        <w:t>无正当理由拒不参加评标委员会按招标文件规定组织的答疑会或答辩会；</w:t>
      </w:r>
    </w:p>
    <w:p>
      <w:pPr>
        <w:pStyle w:val="8"/>
        <w:ind w:firstLine="420" w:firstLineChars="200"/>
      </w:pPr>
      <w:r>
        <w:rPr>
          <w:rFonts w:hint="eastAsia"/>
        </w:rPr>
        <w:t>投标报价超过本次招标人设置的招标控制价。</w:t>
      </w:r>
    </w:p>
    <w:p>
      <w:pPr>
        <w:pStyle w:val="9"/>
        <w:rPr>
          <w:color w:val="auto"/>
        </w:rPr>
      </w:pPr>
    </w:p>
    <w:p>
      <w:pPr>
        <w:pStyle w:val="5"/>
        <w:ind w:firstLine="482"/>
      </w:pPr>
      <w:bookmarkStart w:id="11" w:name="_Toc395611385"/>
      <w:r>
        <w:rPr>
          <w:rFonts w:hint="eastAsia"/>
        </w:rPr>
        <w:t>评标</w:t>
      </w:r>
      <w:bookmarkEnd w:id="11"/>
    </w:p>
    <w:p>
      <w:pPr>
        <w:pStyle w:val="6"/>
        <w:ind w:left="103" w:leftChars="0" w:firstLineChars="0"/>
      </w:pPr>
      <w:r>
        <w:rPr>
          <w:rFonts w:hint="eastAsia"/>
        </w:rPr>
        <w:t>评标委员会与评标</w:t>
      </w:r>
    </w:p>
    <w:p>
      <w:pPr>
        <w:pStyle w:val="7"/>
        <w:ind w:firstLine="420"/>
      </w:pPr>
      <w:r>
        <w:rPr>
          <w:rFonts w:hint="eastAsia"/>
        </w:rPr>
        <w:t>评标委员会由招标人依法组建，负责评标活动。</w:t>
      </w:r>
    </w:p>
    <w:p>
      <w:pPr>
        <w:pStyle w:val="7"/>
        <w:ind w:firstLine="420"/>
      </w:pPr>
      <w:r>
        <w:rPr>
          <w:rFonts w:hint="eastAsia"/>
        </w:rPr>
        <w:t>开标结束后，开始评标，评标按有关规定进行。</w:t>
      </w:r>
    </w:p>
    <w:p>
      <w:pPr>
        <w:pStyle w:val="6"/>
        <w:ind w:left="103" w:leftChars="0" w:firstLineChars="0"/>
      </w:pPr>
      <w:r>
        <w:rPr>
          <w:rFonts w:hint="eastAsia"/>
        </w:rPr>
        <w:t>评标过程的保密</w:t>
      </w:r>
    </w:p>
    <w:p>
      <w:pPr>
        <w:pStyle w:val="7"/>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7"/>
        <w:ind w:firstLine="420"/>
      </w:pPr>
      <w:r>
        <w:rPr>
          <w:rFonts w:hint="eastAsia"/>
        </w:rPr>
        <w:t>在投标文件的评审和比较、中标候选人推荐以及授予合同的过程中，投标人向招标人和评标委员会施加影响的任何行为，都将会导致其投标被拒绝。</w:t>
      </w:r>
    </w:p>
    <w:p>
      <w:pPr>
        <w:pStyle w:val="7"/>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6"/>
        <w:ind w:left="103" w:leftChars="0" w:firstLineChars="0"/>
      </w:pPr>
      <w:r>
        <w:rPr>
          <w:rFonts w:hint="eastAsia"/>
        </w:rPr>
        <w:t>投标文件的澄清</w:t>
      </w:r>
    </w:p>
    <w:p>
      <w:pPr>
        <w:pStyle w:val="7"/>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6"/>
        <w:ind w:left="103" w:leftChars="0" w:firstLineChars="0"/>
      </w:pPr>
      <w:r>
        <w:rPr>
          <w:rFonts w:hint="eastAsia"/>
        </w:rPr>
        <w:t>投标文件的初步评审</w:t>
      </w:r>
    </w:p>
    <w:p>
      <w:pPr>
        <w:pStyle w:val="7"/>
        <w:ind w:firstLine="420"/>
      </w:pPr>
      <w:r>
        <w:rPr>
          <w:rFonts w:hint="eastAsia"/>
        </w:rPr>
        <w:t>开标后，经招标人审查符合本须知第</w:t>
      </w:r>
      <w:r>
        <w:t>22</w:t>
      </w:r>
      <w:r>
        <w:rPr>
          <w:rFonts w:hint="eastAsia"/>
        </w:rPr>
        <w:t>条有关规定的投标文件，才能提交评标委员会进行评审。</w:t>
      </w:r>
    </w:p>
    <w:p>
      <w:pPr>
        <w:pStyle w:val="7"/>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7"/>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6"/>
        <w:ind w:left="103" w:leftChars="0" w:firstLineChars="0"/>
      </w:pPr>
      <w:r>
        <w:rPr>
          <w:rFonts w:hint="eastAsia"/>
        </w:rPr>
        <w:t>投标文件计算错误的修正</w:t>
      </w:r>
    </w:p>
    <w:p>
      <w:pPr>
        <w:pStyle w:val="7"/>
        <w:ind w:firstLine="420"/>
      </w:pPr>
      <w:r>
        <w:rPr>
          <w:rFonts w:hint="eastAsia"/>
        </w:rPr>
        <w:t>评标委员会将对确定为实质上响应招标文件要求的投标文件进行校核，看其是否有计算或表达上的错误，修正错误的原则如下：</w:t>
      </w:r>
    </w:p>
    <w:p>
      <w:pPr>
        <w:pStyle w:val="8"/>
        <w:ind w:firstLine="420" w:firstLineChars="200"/>
      </w:pPr>
      <w:r>
        <w:rPr>
          <w:rFonts w:hint="eastAsia"/>
        </w:rPr>
        <w:t>如果数字表示的金额和用文字表示的金额不一致时，应以文字表示的金额为准；</w:t>
      </w:r>
    </w:p>
    <w:p>
      <w:pPr>
        <w:pStyle w:val="8"/>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8"/>
        <w:ind w:firstLine="420" w:firstLineChars="200"/>
      </w:pPr>
      <w:r>
        <w:rPr>
          <w:rFonts w:hint="eastAsia"/>
        </w:rPr>
        <w:t>任何对投标文件的修正均不得改变投标总报价之金额。</w:t>
      </w:r>
    </w:p>
    <w:p>
      <w:pPr>
        <w:pStyle w:val="7"/>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6"/>
        <w:ind w:left="103" w:leftChars="0" w:firstLineChars="0"/>
      </w:pPr>
      <w:r>
        <w:rPr>
          <w:rFonts w:hint="eastAsia"/>
        </w:rPr>
        <w:t>投标文件的评审、比较和否决</w:t>
      </w:r>
    </w:p>
    <w:p>
      <w:pPr>
        <w:pStyle w:val="7"/>
        <w:ind w:firstLine="420"/>
      </w:pPr>
      <w:r>
        <w:rPr>
          <w:rFonts w:hint="eastAsia"/>
        </w:rPr>
        <w:t>评标委员会将按照本须知第31条规定，仅对在实质上响应招标文件要求的投标文件进行评估和比较。</w:t>
      </w:r>
    </w:p>
    <w:p>
      <w:pPr>
        <w:pStyle w:val="7"/>
        <w:ind w:firstLine="420"/>
      </w:pPr>
      <w:r>
        <w:rPr>
          <w:rFonts w:hint="eastAsia"/>
        </w:rPr>
        <w:t>在评审过程中,评标委员会可以书面形式要求投标人就投标文件中含义不明确的内容进行书面说明并提供相关材料。</w:t>
      </w:r>
    </w:p>
    <w:p>
      <w:pPr>
        <w:pStyle w:val="7"/>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7"/>
        <w:ind w:firstLine="420"/>
      </w:pPr>
      <w:r>
        <w:rPr>
          <w:rFonts w:hint="eastAsia"/>
        </w:rPr>
        <w:t>评标方法和标准:</w:t>
      </w:r>
    </w:p>
    <w:p>
      <w:pPr>
        <w:pStyle w:val="8"/>
        <w:ind w:firstLine="420" w:firstLineChars="200"/>
      </w:pPr>
      <w:r>
        <w:rPr>
          <w:rFonts w:hint="eastAsia"/>
        </w:rPr>
        <w:t>详见附件：标评标办法。</w:t>
      </w:r>
    </w:p>
    <w:p>
      <w:pPr>
        <w:pStyle w:val="9"/>
        <w:rPr>
          <w:color w:val="auto"/>
        </w:rPr>
      </w:pPr>
    </w:p>
    <w:p>
      <w:pPr>
        <w:pStyle w:val="5"/>
        <w:ind w:firstLine="482"/>
      </w:pPr>
      <w:bookmarkStart w:id="12" w:name="_Toc395611386"/>
      <w:r>
        <w:rPr>
          <w:rFonts w:hint="eastAsia"/>
        </w:rPr>
        <w:t>合同的授予</w:t>
      </w:r>
      <w:bookmarkEnd w:id="12"/>
    </w:p>
    <w:p>
      <w:pPr>
        <w:pStyle w:val="6"/>
        <w:ind w:left="103" w:leftChars="0" w:firstLineChars="0"/>
      </w:pPr>
      <w:r>
        <w:rPr>
          <w:rFonts w:hint="eastAsia"/>
        </w:rPr>
        <w:t>合同授予标准</w:t>
      </w:r>
    </w:p>
    <w:p>
      <w:pPr>
        <w:pStyle w:val="7"/>
        <w:ind w:firstLine="420"/>
      </w:pPr>
      <w:r>
        <w:rPr>
          <w:rFonts w:hint="eastAsia"/>
        </w:rPr>
        <w:t>本招标工程的施工合同将授予按本须知第</w:t>
      </w:r>
      <w:r>
        <w:t>28</w:t>
      </w:r>
      <w:r>
        <w:rPr>
          <w:rFonts w:hint="eastAsia"/>
        </w:rPr>
        <w:t>.3款所确定的中标人。</w:t>
      </w:r>
    </w:p>
    <w:p>
      <w:pPr>
        <w:pStyle w:val="6"/>
        <w:ind w:left="103" w:leftChars="0" w:firstLineChars="0"/>
      </w:pPr>
      <w:r>
        <w:rPr>
          <w:rFonts w:hint="eastAsia"/>
        </w:rPr>
        <w:t>招标人拒绝投标的权力</w:t>
      </w:r>
    </w:p>
    <w:p>
      <w:pPr>
        <w:pStyle w:val="7"/>
        <w:ind w:firstLine="420"/>
      </w:pPr>
      <w:r>
        <w:rPr>
          <w:rFonts w:hint="eastAsia"/>
        </w:rPr>
        <w:t>招标人不承诺将合同授予报价最低的投标人。招标人在发出中标通知书前，有权依据评标委员会的评标报告拒绝不合格的投标。</w:t>
      </w:r>
    </w:p>
    <w:p>
      <w:pPr>
        <w:pStyle w:val="6"/>
        <w:ind w:left="103" w:leftChars="0" w:firstLineChars="0"/>
      </w:pPr>
      <w:r>
        <w:rPr>
          <w:rFonts w:hint="eastAsia"/>
        </w:rPr>
        <w:t>中标通知书</w:t>
      </w:r>
    </w:p>
    <w:p>
      <w:pPr>
        <w:pStyle w:val="7"/>
        <w:ind w:firstLine="420"/>
      </w:pPr>
      <w:r>
        <w:rPr>
          <w:rFonts w:hint="eastAsia"/>
        </w:rPr>
        <w:t>招标人根据有关规定对拟中标人进行公告，并同时</w:t>
      </w:r>
      <w:r>
        <w:t>发出</w:t>
      </w:r>
      <w:r>
        <w:rPr>
          <w:rFonts w:hint="eastAsia"/>
        </w:rPr>
        <w:t>中标通知书。</w:t>
      </w:r>
    </w:p>
    <w:p>
      <w:pPr>
        <w:pStyle w:val="7"/>
        <w:ind w:firstLine="420"/>
      </w:pPr>
      <w:r>
        <w:rPr>
          <w:rFonts w:hint="eastAsia"/>
        </w:rPr>
        <w:t>招标人将在发出中标通知书的同时,将中标结果以书面形式通知所有未中标的投标人。</w:t>
      </w:r>
    </w:p>
    <w:p>
      <w:pPr>
        <w:pStyle w:val="6"/>
        <w:ind w:left="103" w:leftChars="0" w:firstLineChars="0"/>
      </w:pPr>
      <w:r>
        <w:rPr>
          <w:rFonts w:hint="eastAsia"/>
        </w:rPr>
        <w:t>合同协议书的签订</w:t>
      </w:r>
    </w:p>
    <w:p>
      <w:pPr>
        <w:pStyle w:val="7"/>
        <w:ind w:firstLine="420"/>
      </w:pPr>
      <w:r>
        <w:rPr>
          <w:rFonts w:hint="eastAsia"/>
        </w:rPr>
        <w:t>招标人与中标人将于中标通知书发出之日起30日内，按照招标文件和中标人的投标文件订立书面工程施工合同。</w:t>
      </w:r>
    </w:p>
    <w:p>
      <w:pPr>
        <w:pStyle w:val="7"/>
        <w:ind w:firstLine="420"/>
      </w:pPr>
      <w:r>
        <w:rPr>
          <w:rFonts w:hint="eastAsia"/>
        </w:rPr>
        <w:t>中标人应当按照合同约定履行义务，完成中标项目施工，不得将中标项目施工转让（转包）给他人。</w:t>
      </w:r>
    </w:p>
    <w:p>
      <w:pPr>
        <w:pStyle w:val="60"/>
        <w:ind w:firstLine="420"/>
      </w:pPr>
      <w:r>
        <w:br w:type="page"/>
      </w:r>
    </w:p>
    <w:p>
      <w:pPr>
        <w:pStyle w:val="3"/>
        <w:keepNext w:val="0"/>
        <w:keepLines w:val="0"/>
        <w:ind w:left="0"/>
        <w:rPr>
          <w:rFonts w:ascii="宋体" w:hAnsi="宋体"/>
        </w:rPr>
      </w:pPr>
      <w:bookmarkStart w:id="13" w:name="_Toc138740209"/>
      <w:bookmarkStart w:id="14" w:name="_Toc79682142"/>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firstLine="643"/>
        <w:jc w:val="both"/>
        <w:rPr>
          <w:bCs/>
          <w:sz w:val="18"/>
          <w:szCs w:val="18"/>
        </w:rPr>
      </w:pPr>
      <w:r>
        <w:br w:type="page"/>
      </w:r>
    </w:p>
    <w:p>
      <w:pPr>
        <w:ind w:firstLine="1041"/>
        <w:jc w:val="center"/>
        <w:rPr>
          <w:rFonts w:eastAsia="华文中宋"/>
          <w:b/>
          <w:sz w:val="52"/>
          <w:szCs w:val="52"/>
        </w:rPr>
      </w:pPr>
    </w:p>
    <w:p>
      <w:pPr>
        <w:ind w:firstLine="1041"/>
        <w:jc w:val="center"/>
        <w:rPr>
          <w:rFonts w:eastAsia="华文中宋"/>
          <w:b/>
          <w:sz w:val="52"/>
          <w:szCs w:val="52"/>
        </w:rPr>
      </w:pPr>
    </w:p>
    <w:p>
      <w:pPr>
        <w:ind w:firstLine="1041"/>
        <w:jc w:val="center"/>
        <w:rPr>
          <w:rFonts w:eastAsia="华文中宋"/>
          <w:b/>
          <w:sz w:val="52"/>
          <w:szCs w:val="52"/>
        </w:rPr>
      </w:pPr>
    </w:p>
    <w:p>
      <w:pPr>
        <w:ind w:firstLine="1041"/>
        <w:jc w:val="center"/>
        <w:rPr>
          <w:rFonts w:eastAsia="华文中宋"/>
          <w:b/>
          <w:sz w:val="52"/>
          <w:szCs w:val="52"/>
        </w:rPr>
      </w:pPr>
      <w:r>
        <w:rPr>
          <w:rFonts w:hint="eastAsia" w:eastAsia="华文中宋"/>
          <w:b/>
          <w:sz w:val="52"/>
          <w:szCs w:val="52"/>
        </w:rPr>
        <w:t>北京清华长庚医院</w:t>
      </w:r>
    </w:p>
    <w:p>
      <w:pPr>
        <w:ind w:firstLine="1441"/>
        <w:jc w:val="center"/>
        <w:rPr>
          <w:rFonts w:eastAsia="华文中宋"/>
          <w:b/>
          <w:sz w:val="52"/>
          <w:szCs w:val="52"/>
        </w:rPr>
      </w:pPr>
      <w:r>
        <w:rPr>
          <w:rFonts w:eastAsia="华文中宋"/>
          <w:b/>
          <w:sz w:val="72"/>
          <w:szCs w:val="52"/>
        </w:rPr>
        <w:t>建设工程施工合同</w:t>
      </w:r>
      <w:r>
        <w:rPr>
          <w:rFonts w:eastAsia="华文中宋"/>
          <w:b/>
          <w:sz w:val="52"/>
          <w:szCs w:val="52"/>
        </w:rPr>
        <w:br w:type="textWrapping"/>
      </w:r>
    </w:p>
    <w:p>
      <w:pPr>
        <w:ind w:firstLine="1041"/>
        <w:jc w:val="center"/>
        <w:rPr>
          <w:rFonts w:eastAsia="华文中宋"/>
          <w:b/>
          <w:sz w:val="52"/>
          <w:szCs w:val="52"/>
        </w:rPr>
      </w:pPr>
    </w:p>
    <w:p>
      <w:pPr>
        <w:ind w:firstLine="1446"/>
        <w:jc w:val="center"/>
        <w:rPr>
          <w:rFonts w:eastAsia="黑体"/>
          <w:b/>
          <w:sz w:val="72"/>
          <w:szCs w:val="72"/>
        </w:rPr>
      </w:pPr>
    </w:p>
    <w:p>
      <w:pPr>
        <w:ind w:firstLine="1446"/>
        <w:jc w:val="center"/>
        <w:rPr>
          <w:rFonts w:eastAsia="楷体_GB2312"/>
          <w:b/>
          <w:sz w:val="72"/>
          <w:szCs w:val="72"/>
        </w:rPr>
      </w:pPr>
    </w:p>
    <w:p>
      <w:pPr>
        <w:ind w:firstLine="1044"/>
        <w:jc w:val="center"/>
        <w:rPr>
          <w:rFonts w:eastAsia="黑体"/>
          <w:b/>
          <w:sz w:val="52"/>
          <w:szCs w:val="52"/>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pStyle w:val="118"/>
        <w:numPr>
          <w:ilvl w:val="0"/>
          <w:numId w:val="0"/>
        </w:numPr>
        <w:spacing w:before="120" w:after="120"/>
        <w:jc w:val="both"/>
        <w:rPr>
          <w:rFonts w:eastAsia="华文中宋"/>
          <w:lang w:val="zh-CN"/>
        </w:rPr>
      </w:pPr>
      <w:bookmarkStart w:id="15" w:name="_Toc296890982"/>
      <w:bookmarkStart w:id="16" w:name="_Toc296503025"/>
    </w:p>
    <w:p>
      <w:pPr>
        <w:pStyle w:val="118"/>
        <w:numPr>
          <w:ilvl w:val="0"/>
          <w:numId w:val="0"/>
        </w:numPr>
        <w:spacing w:before="120" w:after="120"/>
        <w:rPr>
          <w:rFonts w:eastAsia="华文中宋"/>
          <w:b w:val="0"/>
          <w:bCs w:val="0"/>
        </w:rPr>
      </w:pPr>
      <w:r>
        <w:rPr>
          <w:rFonts w:eastAsia="华文中宋"/>
          <w:b w:val="0"/>
          <w:bCs w:val="0"/>
          <w:lang w:val="zh-CN"/>
        </w:rPr>
        <w:t>目录</w:t>
      </w:r>
    </w:p>
    <w:p>
      <w:pPr>
        <w:pStyle w:val="20"/>
        <w:tabs>
          <w:tab w:val="right" w:leader="dot" w:pos="8810"/>
        </w:tabs>
        <w:ind w:firstLine="420"/>
        <w:rPr>
          <w:rFonts w:ascii="等线" w:hAnsi="等线" w:eastAsia="等线"/>
        </w:rPr>
      </w:pPr>
      <w:r>
        <w:rPr>
          <w:rFonts w:ascii="宋体" w:hAnsi="宋体"/>
          <w:szCs w:val="21"/>
        </w:rPr>
        <w:fldChar w:fldCharType="begin"/>
      </w:r>
      <w:r>
        <w:rPr>
          <w:rFonts w:ascii="宋体" w:hAnsi="宋体"/>
          <w:szCs w:val="21"/>
        </w:rPr>
        <w:instrText xml:space="preserve"> TOC \o "1-5" \h \z \u </w:instrText>
      </w:r>
      <w:r>
        <w:rPr>
          <w:rFonts w:ascii="宋体" w:hAnsi="宋体"/>
          <w:szCs w:val="21"/>
        </w:rPr>
        <w:fldChar w:fldCharType="separate"/>
      </w:r>
      <w:r>
        <w:rPr>
          <w:rStyle w:val="47"/>
          <w:color w:val="auto"/>
        </w:rPr>
        <w:t>第一部分 合同协议书</w:t>
      </w:r>
      <w:r>
        <w:tab/>
      </w:r>
      <w:r>
        <w:t>1</w:t>
      </w:r>
    </w:p>
    <w:p>
      <w:pPr>
        <w:pStyle w:val="29"/>
        <w:ind w:firstLine="420"/>
        <w:rPr>
          <w:rFonts w:ascii="等线" w:hAnsi="等线" w:eastAsia="等线"/>
        </w:rPr>
      </w:pPr>
      <w:r>
        <w:rPr>
          <w:rStyle w:val="47"/>
          <w:color w:val="auto"/>
        </w:rPr>
        <w:t>一、工程概况</w:t>
      </w:r>
      <w:r>
        <w:tab/>
      </w:r>
      <w:r>
        <w:t>1</w:t>
      </w:r>
    </w:p>
    <w:p>
      <w:pPr>
        <w:pStyle w:val="29"/>
        <w:ind w:firstLine="420"/>
        <w:rPr>
          <w:rFonts w:ascii="等线" w:hAnsi="等线" w:eastAsia="等线"/>
        </w:rPr>
      </w:pPr>
      <w:r>
        <w:rPr>
          <w:rStyle w:val="47"/>
          <w:color w:val="auto"/>
        </w:rPr>
        <w:t>二、合同工期</w:t>
      </w:r>
      <w:r>
        <w:tab/>
      </w:r>
      <w:r>
        <w:t>1</w:t>
      </w:r>
    </w:p>
    <w:p>
      <w:pPr>
        <w:pStyle w:val="29"/>
        <w:ind w:firstLine="420"/>
        <w:rPr>
          <w:rFonts w:ascii="等线" w:hAnsi="等线" w:eastAsia="等线"/>
        </w:rPr>
      </w:pPr>
      <w:r>
        <w:rPr>
          <w:rStyle w:val="47"/>
          <w:color w:val="auto"/>
        </w:rPr>
        <w:t>三、质量标准</w:t>
      </w:r>
      <w:r>
        <w:tab/>
      </w:r>
      <w:r>
        <w:t>1</w:t>
      </w:r>
    </w:p>
    <w:p>
      <w:pPr>
        <w:pStyle w:val="29"/>
        <w:ind w:firstLine="420"/>
        <w:rPr>
          <w:rFonts w:ascii="等线" w:hAnsi="等线" w:eastAsia="等线"/>
        </w:rPr>
      </w:pPr>
      <w:r>
        <w:rPr>
          <w:rStyle w:val="47"/>
          <w:color w:val="auto"/>
        </w:rPr>
        <w:t>四、签约合同价与合同价格形式</w:t>
      </w:r>
      <w:r>
        <w:tab/>
      </w:r>
      <w:r>
        <w:t>1</w:t>
      </w:r>
    </w:p>
    <w:p>
      <w:pPr>
        <w:pStyle w:val="29"/>
        <w:ind w:firstLine="420"/>
        <w:rPr>
          <w:rFonts w:ascii="等线" w:hAnsi="等线" w:eastAsia="等线"/>
        </w:rPr>
      </w:pPr>
      <w:r>
        <w:rPr>
          <w:rStyle w:val="47"/>
          <w:color w:val="auto"/>
        </w:rPr>
        <w:t>五、项目经理</w:t>
      </w:r>
      <w:r>
        <w:tab/>
      </w:r>
      <w:r>
        <w:t>2</w:t>
      </w:r>
    </w:p>
    <w:p>
      <w:pPr>
        <w:pStyle w:val="29"/>
        <w:ind w:firstLine="420"/>
        <w:rPr>
          <w:rFonts w:ascii="等线" w:hAnsi="等线" w:eastAsia="等线"/>
        </w:rPr>
      </w:pPr>
      <w:r>
        <w:rPr>
          <w:rStyle w:val="47"/>
          <w:color w:val="auto"/>
        </w:rPr>
        <w:t>六、合同文件构成</w:t>
      </w:r>
      <w:r>
        <w:tab/>
      </w:r>
      <w:r>
        <w:t>2</w:t>
      </w:r>
    </w:p>
    <w:p>
      <w:pPr>
        <w:pStyle w:val="29"/>
        <w:ind w:firstLine="420"/>
        <w:rPr>
          <w:rFonts w:ascii="等线" w:hAnsi="等线" w:eastAsia="等线"/>
        </w:rPr>
      </w:pPr>
      <w:r>
        <w:rPr>
          <w:rStyle w:val="47"/>
          <w:color w:val="auto"/>
        </w:rPr>
        <w:t>七、承诺</w:t>
      </w:r>
      <w:r>
        <w:tab/>
      </w:r>
      <w:r>
        <w:t>2</w:t>
      </w:r>
    </w:p>
    <w:p>
      <w:pPr>
        <w:pStyle w:val="29"/>
        <w:ind w:firstLine="420"/>
        <w:rPr>
          <w:rFonts w:ascii="等线" w:hAnsi="等线" w:eastAsia="等线"/>
        </w:rPr>
      </w:pPr>
      <w:r>
        <w:rPr>
          <w:rStyle w:val="47"/>
          <w:color w:val="auto"/>
        </w:rPr>
        <w:t>八、其他约定</w:t>
      </w:r>
      <w:r>
        <w:tab/>
      </w:r>
      <w:r>
        <w:t>3</w:t>
      </w:r>
    </w:p>
    <w:p>
      <w:pPr>
        <w:pStyle w:val="29"/>
        <w:ind w:firstLine="420"/>
        <w:rPr>
          <w:rFonts w:ascii="等线" w:hAnsi="等线" w:eastAsia="等线"/>
        </w:rPr>
      </w:pPr>
      <w:r>
        <w:rPr>
          <w:rStyle w:val="47"/>
          <w:color w:val="auto"/>
        </w:rPr>
        <w:t>九、词语含义</w:t>
      </w:r>
      <w:r>
        <w:tab/>
      </w:r>
      <w:r>
        <w:t>3</w:t>
      </w:r>
    </w:p>
    <w:p>
      <w:pPr>
        <w:pStyle w:val="29"/>
        <w:ind w:firstLine="420"/>
        <w:rPr>
          <w:rFonts w:ascii="等线" w:hAnsi="等线" w:eastAsia="等线"/>
        </w:rPr>
      </w:pPr>
      <w:r>
        <w:rPr>
          <w:rStyle w:val="47"/>
          <w:color w:val="auto"/>
        </w:rPr>
        <w:t>十、签订时间</w:t>
      </w:r>
      <w:r>
        <w:tab/>
      </w:r>
      <w:r>
        <w:t>3</w:t>
      </w:r>
    </w:p>
    <w:p>
      <w:pPr>
        <w:pStyle w:val="29"/>
        <w:ind w:firstLine="420"/>
        <w:rPr>
          <w:rFonts w:ascii="等线" w:hAnsi="等线" w:eastAsia="等线"/>
        </w:rPr>
      </w:pPr>
      <w:r>
        <w:rPr>
          <w:rStyle w:val="47"/>
          <w:color w:val="auto"/>
        </w:rPr>
        <w:t>十一、签订地点</w:t>
      </w:r>
      <w:r>
        <w:tab/>
      </w:r>
      <w:r>
        <w:t>3</w:t>
      </w:r>
    </w:p>
    <w:p>
      <w:pPr>
        <w:pStyle w:val="29"/>
        <w:ind w:firstLine="420"/>
        <w:rPr>
          <w:rFonts w:ascii="等线" w:hAnsi="等线" w:eastAsia="等线"/>
        </w:rPr>
      </w:pPr>
      <w:r>
        <w:rPr>
          <w:rStyle w:val="47"/>
          <w:color w:val="auto"/>
        </w:rPr>
        <w:t>十二、补充协议</w:t>
      </w:r>
      <w:r>
        <w:tab/>
      </w:r>
      <w:r>
        <w:t>3</w:t>
      </w:r>
    </w:p>
    <w:p>
      <w:pPr>
        <w:pStyle w:val="29"/>
        <w:ind w:firstLine="420"/>
        <w:rPr>
          <w:rFonts w:ascii="等线" w:hAnsi="等线" w:eastAsia="等线"/>
        </w:rPr>
      </w:pPr>
      <w:r>
        <w:rPr>
          <w:rStyle w:val="47"/>
          <w:color w:val="auto"/>
        </w:rPr>
        <w:t>十三、合同生效</w:t>
      </w:r>
      <w:r>
        <w:tab/>
      </w:r>
      <w:r>
        <w:t>3</w:t>
      </w:r>
    </w:p>
    <w:p>
      <w:pPr>
        <w:pStyle w:val="29"/>
        <w:ind w:firstLine="420"/>
        <w:rPr>
          <w:rFonts w:ascii="等线" w:hAnsi="等线" w:eastAsia="等线"/>
        </w:rPr>
      </w:pPr>
      <w:r>
        <w:rPr>
          <w:rStyle w:val="47"/>
          <w:color w:val="auto"/>
        </w:rPr>
        <w:t>十四、合同份数</w:t>
      </w:r>
      <w:r>
        <w:tab/>
      </w:r>
      <w:r>
        <w:t>3</w:t>
      </w:r>
    </w:p>
    <w:p>
      <w:pPr>
        <w:pStyle w:val="20"/>
        <w:tabs>
          <w:tab w:val="right" w:leader="dot" w:pos="8810"/>
        </w:tabs>
        <w:ind w:firstLine="420"/>
        <w:rPr>
          <w:rFonts w:ascii="等线" w:hAnsi="等线" w:eastAsia="等线"/>
        </w:rPr>
      </w:pPr>
      <w:r>
        <w:rPr>
          <w:rStyle w:val="47"/>
          <w:color w:val="auto"/>
        </w:rPr>
        <w:t>第二部分 通用合同条款</w:t>
      </w:r>
      <w:r>
        <w:tab/>
      </w:r>
      <w:r>
        <w:t>5</w:t>
      </w:r>
    </w:p>
    <w:p>
      <w:pPr>
        <w:pStyle w:val="29"/>
        <w:ind w:firstLine="420"/>
        <w:rPr>
          <w:rFonts w:ascii="等线" w:hAnsi="等线" w:eastAsia="等线"/>
        </w:rPr>
      </w:pPr>
      <w:r>
        <w:rPr>
          <w:rStyle w:val="47"/>
          <w:color w:val="auto"/>
        </w:rPr>
        <w:t>1. 一般约定</w:t>
      </w:r>
      <w:r>
        <w:tab/>
      </w:r>
      <w:r>
        <w:t>5</w:t>
      </w:r>
    </w:p>
    <w:p>
      <w:pPr>
        <w:pStyle w:val="19"/>
        <w:ind w:firstLine="420"/>
        <w:rPr>
          <w:rFonts w:ascii="等线" w:hAnsi="等线" w:eastAsia="等线"/>
        </w:rPr>
      </w:pPr>
      <w:r>
        <w:rPr>
          <w:rStyle w:val="47"/>
          <w:color w:val="auto"/>
        </w:rPr>
        <w:t>1.1词语定义与解释</w:t>
      </w:r>
      <w:r>
        <w:tab/>
      </w:r>
      <w:r>
        <w:t>5</w:t>
      </w:r>
    </w:p>
    <w:p>
      <w:pPr>
        <w:pStyle w:val="19"/>
        <w:ind w:firstLine="420"/>
        <w:rPr>
          <w:rFonts w:ascii="等线" w:hAnsi="等线" w:eastAsia="等线"/>
        </w:rPr>
      </w:pPr>
      <w:r>
        <w:rPr>
          <w:rStyle w:val="47"/>
          <w:color w:val="auto"/>
        </w:rPr>
        <w:t>1.2语言文字</w:t>
      </w:r>
      <w:r>
        <w:tab/>
      </w:r>
      <w:r>
        <w:t>7</w:t>
      </w:r>
    </w:p>
    <w:p>
      <w:pPr>
        <w:pStyle w:val="19"/>
        <w:ind w:firstLine="420"/>
        <w:rPr>
          <w:rFonts w:ascii="等线" w:hAnsi="等线" w:eastAsia="等线"/>
        </w:rPr>
      </w:pPr>
      <w:r>
        <w:rPr>
          <w:rStyle w:val="47"/>
          <w:color w:val="auto"/>
        </w:rPr>
        <w:t>1.3法律</w:t>
      </w:r>
      <w:r>
        <w:tab/>
      </w:r>
      <w:r>
        <w:t>7</w:t>
      </w:r>
    </w:p>
    <w:p>
      <w:pPr>
        <w:pStyle w:val="19"/>
        <w:ind w:firstLine="420"/>
        <w:rPr>
          <w:rFonts w:ascii="等线" w:hAnsi="等线" w:eastAsia="等线"/>
        </w:rPr>
      </w:pPr>
      <w:r>
        <w:rPr>
          <w:rStyle w:val="47"/>
          <w:color w:val="auto"/>
        </w:rPr>
        <w:t>1.4 标准和规范</w:t>
      </w:r>
      <w:r>
        <w:tab/>
      </w:r>
      <w:r>
        <w:t>8</w:t>
      </w:r>
    </w:p>
    <w:p>
      <w:pPr>
        <w:pStyle w:val="19"/>
        <w:ind w:firstLine="420"/>
        <w:rPr>
          <w:rFonts w:ascii="等线" w:hAnsi="等线" w:eastAsia="等线"/>
        </w:rPr>
      </w:pPr>
      <w:r>
        <w:rPr>
          <w:rStyle w:val="47"/>
          <w:color w:val="auto"/>
        </w:rPr>
        <w:t>1.5 合同文件的优先顺序</w:t>
      </w:r>
      <w:r>
        <w:tab/>
      </w:r>
      <w:r>
        <w:t>8</w:t>
      </w:r>
    </w:p>
    <w:p>
      <w:pPr>
        <w:pStyle w:val="19"/>
        <w:ind w:firstLine="420"/>
        <w:rPr>
          <w:rFonts w:ascii="等线" w:hAnsi="等线" w:eastAsia="等线"/>
        </w:rPr>
      </w:pPr>
      <w:r>
        <w:rPr>
          <w:rStyle w:val="47"/>
          <w:color w:val="auto"/>
        </w:rPr>
        <w:t>1.6图纸和承包人文件</w:t>
      </w:r>
      <w:r>
        <w:tab/>
      </w:r>
      <w:r>
        <w:t>8</w:t>
      </w:r>
    </w:p>
    <w:p>
      <w:pPr>
        <w:pStyle w:val="19"/>
        <w:ind w:firstLine="420"/>
        <w:rPr>
          <w:rFonts w:ascii="等线" w:hAnsi="等线" w:eastAsia="等线"/>
        </w:rPr>
      </w:pPr>
      <w:r>
        <w:rPr>
          <w:rStyle w:val="47"/>
          <w:color w:val="auto"/>
        </w:rPr>
        <w:t>1.7联络</w:t>
      </w:r>
      <w:r>
        <w:tab/>
      </w:r>
      <w:r>
        <w:t>9</w:t>
      </w:r>
    </w:p>
    <w:p>
      <w:pPr>
        <w:pStyle w:val="19"/>
        <w:ind w:firstLine="420"/>
        <w:rPr>
          <w:rFonts w:ascii="等线" w:hAnsi="等线" w:eastAsia="等线"/>
        </w:rPr>
      </w:pPr>
      <w:r>
        <w:rPr>
          <w:rStyle w:val="47"/>
          <w:color w:val="auto"/>
        </w:rPr>
        <w:t>1.8严禁贿赂</w:t>
      </w:r>
      <w:r>
        <w:tab/>
      </w:r>
      <w:r>
        <w:t>9</w:t>
      </w:r>
    </w:p>
    <w:p>
      <w:pPr>
        <w:pStyle w:val="19"/>
        <w:ind w:firstLine="420"/>
        <w:rPr>
          <w:rFonts w:ascii="等线" w:hAnsi="等线" w:eastAsia="等线"/>
        </w:rPr>
      </w:pPr>
      <w:r>
        <w:rPr>
          <w:rStyle w:val="47"/>
          <w:color w:val="auto"/>
        </w:rPr>
        <w:t>1.9化石、文物</w:t>
      </w:r>
      <w:r>
        <w:tab/>
      </w:r>
      <w:r>
        <w:t>9</w:t>
      </w:r>
    </w:p>
    <w:p>
      <w:pPr>
        <w:pStyle w:val="19"/>
        <w:ind w:firstLine="420"/>
        <w:rPr>
          <w:rFonts w:ascii="等线" w:hAnsi="等线" w:eastAsia="等线"/>
        </w:rPr>
      </w:pPr>
      <w:r>
        <w:rPr>
          <w:rStyle w:val="47"/>
          <w:color w:val="auto"/>
        </w:rPr>
        <w:t>1.10交通运输</w:t>
      </w:r>
      <w:r>
        <w:tab/>
      </w:r>
      <w:r>
        <w:t>10</w:t>
      </w:r>
    </w:p>
    <w:p>
      <w:pPr>
        <w:pStyle w:val="19"/>
        <w:ind w:firstLine="420"/>
        <w:rPr>
          <w:rFonts w:ascii="等线" w:hAnsi="等线" w:eastAsia="等线"/>
        </w:rPr>
      </w:pPr>
      <w:r>
        <w:rPr>
          <w:rStyle w:val="47"/>
          <w:color w:val="auto"/>
        </w:rPr>
        <w:t>1.11知识产权</w:t>
      </w:r>
      <w:r>
        <w:tab/>
      </w:r>
      <w:r>
        <w:t>11</w:t>
      </w:r>
    </w:p>
    <w:p>
      <w:pPr>
        <w:pStyle w:val="19"/>
        <w:ind w:firstLine="420"/>
        <w:rPr>
          <w:rFonts w:ascii="等线" w:hAnsi="等线" w:eastAsia="等线"/>
        </w:rPr>
      </w:pPr>
      <w:r>
        <w:rPr>
          <w:rStyle w:val="47"/>
          <w:color w:val="auto"/>
        </w:rPr>
        <w:t>1.12保密</w:t>
      </w:r>
      <w:r>
        <w:tab/>
      </w:r>
      <w:r>
        <w:t>11</w:t>
      </w:r>
    </w:p>
    <w:p>
      <w:pPr>
        <w:pStyle w:val="19"/>
        <w:ind w:firstLine="420"/>
        <w:rPr>
          <w:rFonts w:ascii="等线" w:hAnsi="等线" w:eastAsia="等线"/>
        </w:rPr>
      </w:pPr>
      <w:r>
        <w:rPr>
          <w:rStyle w:val="47"/>
          <w:color w:val="auto"/>
        </w:rPr>
        <w:t>1.13工程量清单错误的修正</w:t>
      </w:r>
      <w:r>
        <w:tab/>
      </w:r>
      <w:r>
        <w:t>11</w:t>
      </w:r>
    </w:p>
    <w:p>
      <w:pPr>
        <w:pStyle w:val="29"/>
        <w:ind w:firstLine="420"/>
        <w:rPr>
          <w:rFonts w:ascii="等线" w:hAnsi="等线" w:eastAsia="等线"/>
        </w:rPr>
      </w:pPr>
      <w:r>
        <w:rPr>
          <w:rStyle w:val="47"/>
          <w:color w:val="auto"/>
        </w:rPr>
        <w:t>2. 发包人</w:t>
      </w:r>
      <w:r>
        <w:tab/>
      </w:r>
      <w:r>
        <w:t>11</w:t>
      </w:r>
    </w:p>
    <w:p>
      <w:pPr>
        <w:pStyle w:val="19"/>
        <w:ind w:firstLine="420"/>
        <w:rPr>
          <w:rFonts w:ascii="等线" w:hAnsi="等线" w:eastAsia="等线"/>
        </w:rPr>
      </w:pPr>
      <w:r>
        <w:rPr>
          <w:rStyle w:val="47"/>
          <w:color w:val="auto"/>
        </w:rPr>
        <w:t>2.1 许可或批准</w:t>
      </w:r>
      <w:r>
        <w:tab/>
      </w:r>
      <w:r>
        <w:t>11</w:t>
      </w:r>
    </w:p>
    <w:p>
      <w:pPr>
        <w:pStyle w:val="19"/>
        <w:ind w:firstLine="420"/>
        <w:rPr>
          <w:rFonts w:ascii="等线" w:hAnsi="等线" w:eastAsia="等线"/>
        </w:rPr>
      </w:pPr>
      <w:r>
        <w:rPr>
          <w:rStyle w:val="47"/>
          <w:color w:val="auto"/>
        </w:rPr>
        <w:t>2.2 发包人代表</w:t>
      </w:r>
      <w:r>
        <w:tab/>
      </w:r>
      <w:r>
        <w:t>12</w:t>
      </w:r>
    </w:p>
    <w:p>
      <w:pPr>
        <w:pStyle w:val="19"/>
        <w:ind w:firstLine="420"/>
        <w:rPr>
          <w:rFonts w:ascii="等线" w:hAnsi="等线" w:eastAsia="等线"/>
        </w:rPr>
      </w:pPr>
      <w:r>
        <w:rPr>
          <w:rStyle w:val="47"/>
          <w:color w:val="auto"/>
        </w:rPr>
        <w:t>2.3 发包人人员</w:t>
      </w:r>
      <w:r>
        <w:tab/>
      </w:r>
      <w:r>
        <w:t>12</w:t>
      </w:r>
    </w:p>
    <w:p>
      <w:pPr>
        <w:pStyle w:val="19"/>
        <w:ind w:firstLine="420"/>
        <w:rPr>
          <w:rFonts w:ascii="等线" w:hAnsi="等线" w:eastAsia="等线"/>
        </w:rPr>
      </w:pPr>
      <w:r>
        <w:rPr>
          <w:rStyle w:val="47"/>
          <w:color w:val="auto"/>
        </w:rPr>
        <w:t>2.4 施工现场、施工条件和基础资料的提供</w:t>
      </w:r>
      <w:r>
        <w:tab/>
      </w:r>
      <w:r>
        <w:t>12</w:t>
      </w:r>
    </w:p>
    <w:p>
      <w:pPr>
        <w:pStyle w:val="19"/>
        <w:ind w:firstLine="420"/>
        <w:rPr>
          <w:rFonts w:ascii="等线" w:hAnsi="等线" w:eastAsia="等线"/>
        </w:rPr>
      </w:pPr>
      <w:r>
        <w:rPr>
          <w:rStyle w:val="47"/>
          <w:color w:val="auto"/>
        </w:rPr>
        <w:t>2.5 资金来源证明及支付担保</w:t>
      </w:r>
      <w:r>
        <w:tab/>
      </w:r>
      <w:r>
        <w:t>13</w:t>
      </w:r>
    </w:p>
    <w:p>
      <w:pPr>
        <w:pStyle w:val="19"/>
        <w:ind w:firstLine="420"/>
        <w:rPr>
          <w:rFonts w:ascii="等线" w:hAnsi="等线" w:eastAsia="等线"/>
        </w:rPr>
      </w:pPr>
      <w:r>
        <w:rPr>
          <w:rStyle w:val="47"/>
          <w:color w:val="auto"/>
        </w:rPr>
        <w:t>2.6 支付合同价款</w:t>
      </w:r>
      <w:r>
        <w:tab/>
      </w:r>
      <w:r>
        <w:t>13</w:t>
      </w:r>
    </w:p>
    <w:p>
      <w:pPr>
        <w:pStyle w:val="19"/>
        <w:ind w:firstLine="420"/>
        <w:rPr>
          <w:rFonts w:ascii="等线" w:hAnsi="等线" w:eastAsia="等线"/>
        </w:rPr>
      </w:pPr>
      <w:r>
        <w:rPr>
          <w:rStyle w:val="47"/>
          <w:color w:val="auto"/>
        </w:rPr>
        <w:t>2.7 组织竣工验收</w:t>
      </w:r>
      <w:r>
        <w:tab/>
      </w:r>
      <w:r>
        <w:t>13</w:t>
      </w:r>
    </w:p>
    <w:p>
      <w:pPr>
        <w:pStyle w:val="19"/>
        <w:ind w:firstLine="420"/>
        <w:rPr>
          <w:rFonts w:ascii="等线" w:hAnsi="等线" w:eastAsia="等线"/>
        </w:rPr>
      </w:pPr>
      <w:r>
        <w:rPr>
          <w:rStyle w:val="47"/>
          <w:color w:val="auto"/>
        </w:rPr>
        <w:t>2.8 现场统一管理协议</w:t>
      </w:r>
      <w:r>
        <w:tab/>
      </w:r>
      <w:r>
        <w:t>13</w:t>
      </w:r>
    </w:p>
    <w:p>
      <w:pPr>
        <w:pStyle w:val="29"/>
        <w:ind w:firstLine="420"/>
        <w:rPr>
          <w:rFonts w:ascii="等线" w:hAnsi="等线" w:eastAsia="等线"/>
        </w:rPr>
      </w:pPr>
      <w:r>
        <w:rPr>
          <w:rStyle w:val="47"/>
          <w:color w:val="auto"/>
        </w:rPr>
        <w:t>3. 承包人</w:t>
      </w:r>
      <w:r>
        <w:tab/>
      </w:r>
      <w:r>
        <w:t>13</w:t>
      </w:r>
    </w:p>
    <w:p>
      <w:pPr>
        <w:pStyle w:val="19"/>
        <w:ind w:firstLine="420"/>
        <w:rPr>
          <w:rFonts w:ascii="等线" w:hAnsi="等线" w:eastAsia="等线"/>
        </w:rPr>
      </w:pPr>
      <w:r>
        <w:rPr>
          <w:rStyle w:val="47"/>
          <w:color w:val="auto"/>
        </w:rPr>
        <w:t>3.1 承包人的一般义务</w:t>
      </w:r>
      <w:r>
        <w:tab/>
      </w:r>
      <w:r>
        <w:t>13</w:t>
      </w:r>
    </w:p>
    <w:p>
      <w:pPr>
        <w:pStyle w:val="19"/>
        <w:ind w:firstLine="420"/>
        <w:rPr>
          <w:rFonts w:ascii="等线" w:hAnsi="等线" w:eastAsia="等线"/>
        </w:rPr>
      </w:pPr>
      <w:r>
        <w:rPr>
          <w:rStyle w:val="47"/>
          <w:color w:val="auto"/>
        </w:rPr>
        <w:t>3.2 项目经理</w:t>
      </w:r>
      <w:r>
        <w:tab/>
      </w:r>
      <w:r>
        <w:t>14</w:t>
      </w:r>
    </w:p>
    <w:p>
      <w:pPr>
        <w:pStyle w:val="19"/>
        <w:ind w:firstLine="420"/>
        <w:rPr>
          <w:rFonts w:ascii="等线" w:hAnsi="等线" w:eastAsia="等线"/>
        </w:rPr>
      </w:pPr>
      <w:r>
        <w:rPr>
          <w:rStyle w:val="47"/>
          <w:color w:val="auto"/>
        </w:rPr>
        <w:t>3.3 承包人人员</w:t>
      </w:r>
      <w:r>
        <w:tab/>
      </w:r>
      <w:r>
        <w:t>15</w:t>
      </w:r>
    </w:p>
    <w:p>
      <w:pPr>
        <w:pStyle w:val="19"/>
        <w:ind w:firstLine="420"/>
        <w:rPr>
          <w:rFonts w:ascii="等线" w:hAnsi="等线" w:eastAsia="等线"/>
        </w:rPr>
      </w:pPr>
      <w:r>
        <w:rPr>
          <w:rStyle w:val="47"/>
          <w:color w:val="auto"/>
        </w:rPr>
        <w:t>3.4 承包人现场查勘</w:t>
      </w:r>
      <w:r>
        <w:tab/>
      </w:r>
      <w:r>
        <w:t>15</w:t>
      </w:r>
    </w:p>
    <w:p>
      <w:pPr>
        <w:pStyle w:val="19"/>
        <w:ind w:firstLine="420"/>
        <w:rPr>
          <w:rFonts w:ascii="等线" w:hAnsi="等线" w:eastAsia="等线"/>
        </w:rPr>
      </w:pPr>
      <w:r>
        <w:rPr>
          <w:rStyle w:val="47"/>
          <w:color w:val="auto"/>
        </w:rPr>
        <w:t>3.5 分包</w:t>
      </w:r>
      <w:r>
        <w:tab/>
      </w:r>
      <w:r>
        <w:t>16</w:t>
      </w:r>
    </w:p>
    <w:p>
      <w:pPr>
        <w:pStyle w:val="19"/>
        <w:ind w:firstLine="420"/>
        <w:rPr>
          <w:rFonts w:ascii="等线" w:hAnsi="等线" w:eastAsia="等线"/>
        </w:rPr>
      </w:pPr>
      <w:r>
        <w:rPr>
          <w:rStyle w:val="47"/>
          <w:color w:val="auto"/>
        </w:rPr>
        <w:t>3.6 工程照管与成品、半成品保护</w:t>
      </w:r>
      <w:r>
        <w:tab/>
      </w:r>
      <w:r>
        <w:t>16</w:t>
      </w:r>
    </w:p>
    <w:p>
      <w:pPr>
        <w:pStyle w:val="19"/>
        <w:ind w:firstLine="420"/>
        <w:rPr>
          <w:rFonts w:ascii="等线" w:hAnsi="等线" w:eastAsia="等线"/>
        </w:rPr>
      </w:pPr>
      <w:r>
        <w:rPr>
          <w:rStyle w:val="47"/>
          <w:color w:val="auto"/>
        </w:rPr>
        <w:t>3.7 履约担保</w:t>
      </w:r>
      <w:r>
        <w:tab/>
      </w:r>
      <w:r>
        <w:t>16</w:t>
      </w:r>
    </w:p>
    <w:p>
      <w:pPr>
        <w:pStyle w:val="19"/>
        <w:ind w:firstLine="420"/>
        <w:rPr>
          <w:rFonts w:ascii="等线" w:hAnsi="等线" w:eastAsia="等线"/>
        </w:rPr>
      </w:pPr>
      <w:r>
        <w:rPr>
          <w:rStyle w:val="47"/>
          <w:color w:val="auto"/>
        </w:rPr>
        <w:t>3.8 联合体</w:t>
      </w:r>
      <w:r>
        <w:tab/>
      </w:r>
      <w:r>
        <w:t>17</w:t>
      </w:r>
    </w:p>
    <w:p>
      <w:pPr>
        <w:pStyle w:val="29"/>
        <w:ind w:firstLine="420"/>
        <w:rPr>
          <w:rFonts w:ascii="等线" w:hAnsi="等线" w:eastAsia="等线"/>
        </w:rPr>
      </w:pPr>
      <w:r>
        <w:rPr>
          <w:rStyle w:val="47"/>
          <w:color w:val="auto"/>
        </w:rPr>
        <w:t>4. 监理人</w:t>
      </w:r>
      <w:r>
        <w:tab/>
      </w:r>
      <w:r>
        <w:t>17</w:t>
      </w:r>
    </w:p>
    <w:p>
      <w:pPr>
        <w:pStyle w:val="19"/>
        <w:ind w:firstLine="420"/>
        <w:rPr>
          <w:rFonts w:ascii="等线" w:hAnsi="等线" w:eastAsia="等线"/>
        </w:rPr>
      </w:pPr>
      <w:r>
        <w:rPr>
          <w:rStyle w:val="47"/>
          <w:color w:val="auto"/>
        </w:rPr>
        <w:t>4.1监理人的一般规定</w:t>
      </w:r>
      <w:r>
        <w:tab/>
      </w:r>
      <w:r>
        <w:t>17</w:t>
      </w:r>
    </w:p>
    <w:p>
      <w:pPr>
        <w:pStyle w:val="19"/>
        <w:ind w:firstLine="420"/>
        <w:rPr>
          <w:rFonts w:ascii="等线" w:hAnsi="等线" w:eastAsia="等线"/>
        </w:rPr>
      </w:pPr>
      <w:r>
        <w:rPr>
          <w:rStyle w:val="47"/>
          <w:color w:val="auto"/>
        </w:rPr>
        <w:t>4.2监理人员</w:t>
      </w:r>
      <w:r>
        <w:tab/>
      </w:r>
      <w:r>
        <w:t>17</w:t>
      </w:r>
    </w:p>
    <w:p>
      <w:pPr>
        <w:pStyle w:val="19"/>
        <w:ind w:firstLine="420"/>
        <w:rPr>
          <w:rFonts w:ascii="等线" w:hAnsi="等线" w:eastAsia="等线"/>
        </w:rPr>
      </w:pPr>
      <w:r>
        <w:rPr>
          <w:rStyle w:val="47"/>
          <w:color w:val="auto"/>
        </w:rPr>
        <w:t>4.3监理人的指示</w:t>
      </w:r>
      <w:r>
        <w:tab/>
      </w:r>
      <w:r>
        <w:t>17</w:t>
      </w:r>
    </w:p>
    <w:p>
      <w:pPr>
        <w:pStyle w:val="19"/>
        <w:ind w:firstLine="420"/>
        <w:rPr>
          <w:rFonts w:ascii="等线" w:hAnsi="等线" w:eastAsia="等线"/>
        </w:rPr>
      </w:pPr>
      <w:r>
        <w:rPr>
          <w:rStyle w:val="47"/>
          <w:color w:val="auto"/>
        </w:rPr>
        <w:t>4.4 商定或确定</w:t>
      </w:r>
      <w:r>
        <w:tab/>
      </w:r>
      <w:r>
        <w:t>18</w:t>
      </w:r>
    </w:p>
    <w:p>
      <w:pPr>
        <w:pStyle w:val="29"/>
        <w:ind w:firstLine="420"/>
        <w:rPr>
          <w:rFonts w:ascii="等线" w:hAnsi="等线" w:eastAsia="等线"/>
        </w:rPr>
      </w:pPr>
      <w:r>
        <w:rPr>
          <w:rStyle w:val="47"/>
          <w:color w:val="auto"/>
        </w:rPr>
        <w:t>5. 工程质量</w:t>
      </w:r>
      <w:r>
        <w:tab/>
      </w:r>
      <w:r>
        <w:t>18</w:t>
      </w:r>
    </w:p>
    <w:p>
      <w:pPr>
        <w:pStyle w:val="19"/>
        <w:ind w:firstLine="420"/>
        <w:rPr>
          <w:rFonts w:ascii="等线" w:hAnsi="等线" w:eastAsia="等线"/>
        </w:rPr>
      </w:pPr>
      <w:r>
        <w:rPr>
          <w:rStyle w:val="47"/>
          <w:color w:val="auto"/>
        </w:rPr>
        <w:t>5.1质量要求</w:t>
      </w:r>
      <w:r>
        <w:tab/>
      </w:r>
      <w:r>
        <w:t>18</w:t>
      </w:r>
    </w:p>
    <w:p>
      <w:pPr>
        <w:pStyle w:val="19"/>
        <w:ind w:firstLine="420"/>
        <w:rPr>
          <w:rFonts w:ascii="等线" w:hAnsi="等线" w:eastAsia="等线"/>
        </w:rPr>
      </w:pPr>
      <w:r>
        <w:rPr>
          <w:rStyle w:val="47"/>
          <w:color w:val="auto"/>
        </w:rPr>
        <w:t>5.2质量保证措施</w:t>
      </w:r>
      <w:r>
        <w:tab/>
      </w:r>
      <w:r>
        <w:t>18</w:t>
      </w:r>
    </w:p>
    <w:p>
      <w:pPr>
        <w:pStyle w:val="19"/>
        <w:ind w:firstLine="420"/>
        <w:rPr>
          <w:rFonts w:ascii="等线" w:hAnsi="等线" w:eastAsia="等线"/>
        </w:rPr>
      </w:pPr>
      <w:r>
        <w:rPr>
          <w:rStyle w:val="47"/>
          <w:color w:val="auto"/>
        </w:rPr>
        <w:t>5.3 隐蔽工程检查</w:t>
      </w:r>
      <w:r>
        <w:tab/>
      </w:r>
      <w:r>
        <w:t>19</w:t>
      </w:r>
    </w:p>
    <w:p>
      <w:pPr>
        <w:pStyle w:val="19"/>
        <w:ind w:firstLine="420"/>
        <w:rPr>
          <w:rFonts w:ascii="等线" w:hAnsi="等线" w:eastAsia="等线"/>
        </w:rPr>
      </w:pPr>
      <w:r>
        <w:rPr>
          <w:rStyle w:val="47"/>
          <w:color w:val="auto"/>
        </w:rPr>
        <w:t>5.4不合格工程的处理</w:t>
      </w:r>
      <w:r>
        <w:tab/>
      </w:r>
      <w:r>
        <w:t>20</w:t>
      </w:r>
    </w:p>
    <w:p>
      <w:pPr>
        <w:pStyle w:val="19"/>
        <w:ind w:firstLine="420"/>
        <w:rPr>
          <w:rFonts w:ascii="等线" w:hAnsi="等线" w:eastAsia="等线"/>
        </w:rPr>
      </w:pPr>
      <w:r>
        <w:rPr>
          <w:rStyle w:val="47"/>
          <w:color w:val="auto"/>
        </w:rPr>
        <w:t>5.5 质量争议检测</w:t>
      </w:r>
      <w:r>
        <w:tab/>
      </w:r>
      <w:r>
        <w:t>20</w:t>
      </w:r>
    </w:p>
    <w:p>
      <w:pPr>
        <w:pStyle w:val="29"/>
        <w:ind w:firstLine="420"/>
        <w:rPr>
          <w:rFonts w:ascii="等线" w:hAnsi="等线" w:eastAsia="等线"/>
        </w:rPr>
      </w:pPr>
      <w:r>
        <w:rPr>
          <w:rStyle w:val="47"/>
          <w:color w:val="auto"/>
        </w:rPr>
        <w:t>6. 安全文明施工与环境保护</w:t>
      </w:r>
      <w:r>
        <w:tab/>
      </w:r>
      <w:r>
        <w:t>20</w:t>
      </w:r>
    </w:p>
    <w:p>
      <w:pPr>
        <w:pStyle w:val="19"/>
        <w:ind w:firstLine="420"/>
        <w:rPr>
          <w:rFonts w:ascii="等线" w:hAnsi="等线" w:eastAsia="等线"/>
        </w:rPr>
      </w:pPr>
      <w:r>
        <w:rPr>
          <w:rStyle w:val="47"/>
          <w:color w:val="auto"/>
        </w:rPr>
        <w:t>6.1安全文明施工</w:t>
      </w:r>
      <w:r>
        <w:tab/>
      </w:r>
      <w:r>
        <w:t>20</w:t>
      </w:r>
    </w:p>
    <w:p>
      <w:pPr>
        <w:pStyle w:val="19"/>
        <w:ind w:firstLine="420"/>
        <w:rPr>
          <w:rFonts w:ascii="等线" w:hAnsi="等线" w:eastAsia="等线"/>
        </w:rPr>
      </w:pPr>
      <w:r>
        <w:rPr>
          <w:rStyle w:val="47"/>
          <w:color w:val="auto"/>
        </w:rPr>
        <w:t>6.2 职业健康</w:t>
      </w:r>
      <w:r>
        <w:tab/>
      </w:r>
      <w:r>
        <w:t>22</w:t>
      </w:r>
    </w:p>
    <w:p>
      <w:pPr>
        <w:pStyle w:val="19"/>
        <w:ind w:firstLine="420"/>
        <w:rPr>
          <w:rFonts w:ascii="等线" w:hAnsi="等线" w:eastAsia="等线"/>
        </w:rPr>
      </w:pPr>
      <w:r>
        <w:rPr>
          <w:rStyle w:val="47"/>
          <w:color w:val="auto"/>
        </w:rPr>
        <w:t>6.3 环境保护</w:t>
      </w:r>
      <w:r>
        <w:tab/>
      </w:r>
      <w:r>
        <w:t>23</w:t>
      </w:r>
    </w:p>
    <w:p>
      <w:pPr>
        <w:pStyle w:val="29"/>
        <w:ind w:firstLine="420"/>
        <w:rPr>
          <w:rFonts w:ascii="等线" w:hAnsi="等线" w:eastAsia="等线"/>
        </w:rPr>
      </w:pPr>
      <w:r>
        <w:rPr>
          <w:rStyle w:val="47"/>
          <w:color w:val="auto"/>
        </w:rPr>
        <w:t>7. 工期和进度</w:t>
      </w:r>
      <w:r>
        <w:tab/>
      </w:r>
      <w:r>
        <w:t>23</w:t>
      </w:r>
    </w:p>
    <w:p>
      <w:pPr>
        <w:pStyle w:val="19"/>
        <w:ind w:firstLine="420"/>
        <w:rPr>
          <w:rFonts w:ascii="等线" w:hAnsi="等线" w:eastAsia="等线"/>
        </w:rPr>
      </w:pPr>
      <w:r>
        <w:rPr>
          <w:rStyle w:val="47"/>
          <w:color w:val="auto"/>
        </w:rPr>
        <w:t>7.1施工组织设计</w:t>
      </w:r>
      <w:r>
        <w:tab/>
      </w:r>
      <w:r>
        <w:t>23</w:t>
      </w:r>
    </w:p>
    <w:p>
      <w:pPr>
        <w:pStyle w:val="19"/>
        <w:ind w:firstLine="420"/>
        <w:rPr>
          <w:rFonts w:ascii="等线" w:hAnsi="等线" w:eastAsia="等线"/>
        </w:rPr>
      </w:pPr>
      <w:r>
        <w:rPr>
          <w:rStyle w:val="47"/>
          <w:color w:val="auto"/>
        </w:rPr>
        <w:t>7.2 施工进度计划</w:t>
      </w:r>
      <w:r>
        <w:tab/>
      </w:r>
      <w:r>
        <w:t>24</w:t>
      </w:r>
    </w:p>
    <w:p>
      <w:pPr>
        <w:pStyle w:val="19"/>
        <w:ind w:firstLine="420"/>
        <w:rPr>
          <w:rFonts w:ascii="等线" w:hAnsi="等线" w:eastAsia="等线"/>
        </w:rPr>
      </w:pPr>
      <w:r>
        <w:rPr>
          <w:rStyle w:val="47"/>
          <w:color w:val="auto"/>
        </w:rPr>
        <w:t>7.3 开工</w:t>
      </w:r>
      <w:r>
        <w:tab/>
      </w:r>
      <w:r>
        <w:t>24</w:t>
      </w:r>
    </w:p>
    <w:p>
      <w:pPr>
        <w:pStyle w:val="19"/>
        <w:ind w:firstLine="420"/>
        <w:rPr>
          <w:rFonts w:ascii="等线" w:hAnsi="等线" w:eastAsia="等线"/>
        </w:rPr>
      </w:pPr>
      <w:r>
        <w:rPr>
          <w:rStyle w:val="47"/>
          <w:color w:val="auto"/>
        </w:rPr>
        <w:t>7.4测量放线</w:t>
      </w:r>
      <w:r>
        <w:tab/>
      </w:r>
      <w:r>
        <w:t>24</w:t>
      </w:r>
    </w:p>
    <w:p>
      <w:pPr>
        <w:pStyle w:val="19"/>
        <w:ind w:firstLine="420"/>
        <w:rPr>
          <w:rFonts w:ascii="等线" w:hAnsi="等线" w:eastAsia="等线"/>
        </w:rPr>
      </w:pPr>
      <w:r>
        <w:rPr>
          <w:rStyle w:val="47"/>
          <w:color w:val="auto"/>
        </w:rPr>
        <w:t>7.5 工期延误</w:t>
      </w:r>
      <w:r>
        <w:tab/>
      </w:r>
      <w:r>
        <w:t>25</w:t>
      </w:r>
    </w:p>
    <w:p>
      <w:pPr>
        <w:pStyle w:val="19"/>
        <w:ind w:firstLine="420"/>
        <w:rPr>
          <w:rFonts w:ascii="等线" w:hAnsi="等线" w:eastAsia="等线"/>
        </w:rPr>
      </w:pPr>
      <w:r>
        <w:rPr>
          <w:rStyle w:val="47"/>
          <w:color w:val="auto"/>
        </w:rPr>
        <w:t>7.6 不利物质条件</w:t>
      </w:r>
      <w:r>
        <w:tab/>
      </w:r>
      <w:r>
        <w:t>25</w:t>
      </w:r>
    </w:p>
    <w:p>
      <w:pPr>
        <w:pStyle w:val="19"/>
        <w:ind w:firstLine="420"/>
        <w:rPr>
          <w:rFonts w:ascii="等线" w:hAnsi="等线" w:eastAsia="等线"/>
        </w:rPr>
      </w:pPr>
      <w:r>
        <w:rPr>
          <w:rStyle w:val="47"/>
          <w:color w:val="auto"/>
        </w:rPr>
        <w:t>7.7 异常恶劣的气候条件</w:t>
      </w:r>
      <w:r>
        <w:tab/>
      </w:r>
      <w:r>
        <w:t>26</w:t>
      </w:r>
    </w:p>
    <w:p>
      <w:pPr>
        <w:pStyle w:val="19"/>
        <w:ind w:firstLine="420"/>
        <w:rPr>
          <w:rFonts w:ascii="等线" w:hAnsi="等线" w:eastAsia="等线"/>
        </w:rPr>
      </w:pPr>
      <w:r>
        <w:rPr>
          <w:rStyle w:val="47"/>
          <w:color w:val="auto"/>
        </w:rPr>
        <w:t>7.8 暂停施工</w:t>
      </w:r>
      <w:r>
        <w:tab/>
      </w:r>
      <w:r>
        <w:t>26</w:t>
      </w:r>
    </w:p>
    <w:p>
      <w:pPr>
        <w:pStyle w:val="19"/>
        <w:ind w:firstLine="420"/>
        <w:rPr>
          <w:rFonts w:ascii="等线" w:hAnsi="等线" w:eastAsia="等线"/>
        </w:rPr>
      </w:pPr>
      <w:r>
        <w:rPr>
          <w:rStyle w:val="47"/>
          <w:color w:val="auto"/>
        </w:rPr>
        <w:t>7.9提前竣工</w:t>
      </w:r>
      <w:r>
        <w:tab/>
      </w:r>
      <w:r>
        <w:t>27</w:t>
      </w:r>
    </w:p>
    <w:p>
      <w:pPr>
        <w:pStyle w:val="29"/>
        <w:ind w:firstLine="420"/>
        <w:rPr>
          <w:rFonts w:ascii="等线" w:hAnsi="等线" w:eastAsia="等线"/>
        </w:rPr>
      </w:pPr>
      <w:r>
        <w:rPr>
          <w:rStyle w:val="47"/>
          <w:color w:val="auto"/>
        </w:rPr>
        <w:t>8. 材料与设备</w:t>
      </w:r>
      <w:r>
        <w:tab/>
      </w:r>
      <w:r>
        <w:t>27</w:t>
      </w:r>
    </w:p>
    <w:p>
      <w:pPr>
        <w:pStyle w:val="19"/>
        <w:ind w:firstLine="420"/>
        <w:rPr>
          <w:rFonts w:ascii="等线" w:hAnsi="等线" w:eastAsia="等线"/>
        </w:rPr>
      </w:pPr>
      <w:r>
        <w:rPr>
          <w:rStyle w:val="47"/>
          <w:color w:val="auto"/>
        </w:rPr>
        <w:t>8.1发包人供应材料与工程设备</w:t>
      </w:r>
      <w:r>
        <w:tab/>
      </w:r>
      <w:r>
        <w:t>27</w:t>
      </w:r>
    </w:p>
    <w:p>
      <w:pPr>
        <w:pStyle w:val="19"/>
        <w:ind w:firstLine="420"/>
        <w:rPr>
          <w:rFonts w:ascii="等线" w:hAnsi="等线" w:eastAsia="等线"/>
        </w:rPr>
      </w:pPr>
      <w:r>
        <w:rPr>
          <w:rStyle w:val="47"/>
          <w:color w:val="auto"/>
        </w:rPr>
        <w:t>8.2承包人采购材料与工程设备</w:t>
      </w:r>
      <w:r>
        <w:tab/>
      </w:r>
      <w:r>
        <w:t>28</w:t>
      </w:r>
    </w:p>
    <w:p>
      <w:pPr>
        <w:pStyle w:val="19"/>
        <w:ind w:firstLine="420"/>
        <w:rPr>
          <w:rFonts w:ascii="等线" w:hAnsi="等线" w:eastAsia="等线"/>
        </w:rPr>
      </w:pPr>
      <w:r>
        <w:rPr>
          <w:rStyle w:val="47"/>
          <w:color w:val="auto"/>
        </w:rPr>
        <w:t>8.3材料与工程设备的接收与拒收</w:t>
      </w:r>
      <w:r>
        <w:tab/>
      </w:r>
      <w:r>
        <w:t>28</w:t>
      </w:r>
    </w:p>
    <w:p>
      <w:pPr>
        <w:pStyle w:val="19"/>
        <w:ind w:firstLine="420"/>
        <w:rPr>
          <w:rFonts w:ascii="等线" w:hAnsi="等线" w:eastAsia="等线"/>
        </w:rPr>
      </w:pPr>
      <w:r>
        <w:rPr>
          <w:rStyle w:val="47"/>
          <w:color w:val="auto"/>
        </w:rPr>
        <w:t>8.4材料与工程设备的保管与使用</w:t>
      </w:r>
      <w:r>
        <w:tab/>
      </w:r>
      <w:r>
        <w:t>28</w:t>
      </w:r>
    </w:p>
    <w:p>
      <w:pPr>
        <w:pStyle w:val="19"/>
        <w:ind w:firstLine="420"/>
        <w:rPr>
          <w:rFonts w:ascii="等线" w:hAnsi="等线" w:eastAsia="等线"/>
        </w:rPr>
      </w:pPr>
      <w:r>
        <w:rPr>
          <w:rStyle w:val="47"/>
          <w:color w:val="auto"/>
        </w:rPr>
        <w:t>8.5禁止使用不合格的材料和工程设备</w:t>
      </w:r>
      <w:r>
        <w:tab/>
      </w:r>
      <w:r>
        <w:t>29</w:t>
      </w:r>
    </w:p>
    <w:p>
      <w:pPr>
        <w:pStyle w:val="19"/>
        <w:ind w:firstLine="420"/>
        <w:rPr>
          <w:rFonts w:ascii="等线" w:hAnsi="等线" w:eastAsia="等线"/>
        </w:rPr>
      </w:pPr>
      <w:r>
        <w:rPr>
          <w:rStyle w:val="47"/>
          <w:color w:val="auto"/>
        </w:rPr>
        <w:t>8.6 样品</w:t>
      </w:r>
      <w:r>
        <w:tab/>
      </w:r>
      <w:r>
        <w:t>29</w:t>
      </w:r>
    </w:p>
    <w:p>
      <w:pPr>
        <w:pStyle w:val="19"/>
        <w:ind w:firstLine="420"/>
        <w:rPr>
          <w:rFonts w:ascii="等线" w:hAnsi="等线" w:eastAsia="等线"/>
        </w:rPr>
      </w:pPr>
      <w:r>
        <w:rPr>
          <w:rStyle w:val="47"/>
          <w:color w:val="auto"/>
        </w:rPr>
        <w:t>8.7材料与工程设备的替代</w:t>
      </w:r>
      <w:r>
        <w:tab/>
      </w:r>
      <w:r>
        <w:t>29</w:t>
      </w:r>
    </w:p>
    <w:p>
      <w:pPr>
        <w:pStyle w:val="19"/>
        <w:ind w:firstLine="420"/>
        <w:rPr>
          <w:rFonts w:ascii="等线" w:hAnsi="等线" w:eastAsia="等线"/>
        </w:rPr>
      </w:pPr>
      <w:r>
        <w:rPr>
          <w:rStyle w:val="47"/>
          <w:color w:val="auto"/>
        </w:rPr>
        <w:t>8.8施工设备和临时设施</w:t>
      </w:r>
      <w:r>
        <w:tab/>
      </w:r>
      <w:r>
        <w:t>30</w:t>
      </w:r>
    </w:p>
    <w:p>
      <w:pPr>
        <w:pStyle w:val="19"/>
        <w:ind w:firstLine="420"/>
        <w:rPr>
          <w:rFonts w:ascii="等线" w:hAnsi="等线" w:eastAsia="等线"/>
        </w:rPr>
      </w:pPr>
      <w:r>
        <w:rPr>
          <w:rStyle w:val="47"/>
          <w:color w:val="auto"/>
        </w:rPr>
        <w:t>8.9材料与设备专用要求</w:t>
      </w:r>
      <w:r>
        <w:tab/>
      </w:r>
      <w:r>
        <w:t>30</w:t>
      </w:r>
    </w:p>
    <w:p>
      <w:pPr>
        <w:pStyle w:val="29"/>
        <w:ind w:firstLine="420"/>
        <w:rPr>
          <w:rFonts w:ascii="等线" w:hAnsi="等线" w:eastAsia="等线"/>
        </w:rPr>
      </w:pPr>
      <w:r>
        <w:rPr>
          <w:rStyle w:val="47"/>
          <w:color w:val="auto"/>
        </w:rPr>
        <w:t>9. 试验与检验</w:t>
      </w:r>
      <w:r>
        <w:tab/>
      </w:r>
      <w:r>
        <w:t>31</w:t>
      </w:r>
    </w:p>
    <w:p>
      <w:pPr>
        <w:pStyle w:val="19"/>
        <w:ind w:firstLine="420"/>
        <w:rPr>
          <w:rFonts w:ascii="等线" w:hAnsi="等线" w:eastAsia="等线"/>
        </w:rPr>
      </w:pPr>
      <w:r>
        <w:rPr>
          <w:rStyle w:val="47"/>
          <w:color w:val="auto"/>
        </w:rPr>
        <w:t>9.1试验设备与试验人员</w:t>
      </w:r>
      <w:r>
        <w:tab/>
      </w:r>
      <w:r>
        <w:t>31</w:t>
      </w:r>
    </w:p>
    <w:p>
      <w:pPr>
        <w:pStyle w:val="19"/>
        <w:ind w:firstLine="420"/>
        <w:rPr>
          <w:rFonts w:ascii="等线" w:hAnsi="等线" w:eastAsia="等线"/>
        </w:rPr>
      </w:pPr>
      <w:r>
        <w:rPr>
          <w:rStyle w:val="47"/>
          <w:color w:val="auto"/>
        </w:rPr>
        <w:t>9.2取样</w:t>
      </w:r>
      <w:r>
        <w:tab/>
      </w:r>
      <w:r>
        <w:t>31</w:t>
      </w:r>
    </w:p>
    <w:p>
      <w:pPr>
        <w:pStyle w:val="19"/>
        <w:ind w:firstLine="420"/>
        <w:rPr>
          <w:rFonts w:ascii="等线" w:hAnsi="等线" w:eastAsia="等线"/>
        </w:rPr>
      </w:pPr>
      <w:r>
        <w:rPr>
          <w:rStyle w:val="47"/>
          <w:color w:val="auto"/>
        </w:rPr>
        <w:t>9.3材料、工程设备和工程的试验和检验</w:t>
      </w:r>
      <w:r>
        <w:tab/>
      </w:r>
      <w:r>
        <w:t>31</w:t>
      </w:r>
    </w:p>
    <w:p>
      <w:pPr>
        <w:pStyle w:val="19"/>
        <w:ind w:firstLine="420"/>
        <w:rPr>
          <w:rFonts w:ascii="等线" w:hAnsi="等线" w:eastAsia="等线"/>
        </w:rPr>
      </w:pPr>
      <w:r>
        <w:rPr>
          <w:rStyle w:val="47"/>
          <w:color w:val="auto"/>
        </w:rPr>
        <w:t>9.4现场工艺试验</w:t>
      </w:r>
      <w:r>
        <w:tab/>
      </w:r>
      <w:r>
        <w:t>32</w:t>
      </w:r>
    </w:p>
    <w:p>
      <w:pPr>
        <w:pStyle w:val="29"/>
        <w:ind w:firstLine="420"/>
        <w:rPr>
          <w:rFonts w:ascii="等线" w:hAnsi="等线" w:eastAsia="等线"/>
        </w:rPr>
      </w:pPr>
      <w:r>
        <w:rPr>
          <w:rStyle w:val="47"/>
          <w:color w:val="auto"/>
        </w:rPr>
        <w:t>10. 变更</w:t>
      </w:r>
      <w:r>
        <w:tab/>
      </w:r>
      <w:r>
        <w:t>32</w:t>
      </w:r>
    </w:p>
    <w:p>
      <w:pPr>
        <w:pStyle w:val="19"/>
        <w:ind w:firstLine="420"/>
        <w:rPr>
          <w:rFonts w:ascii="等线" w:hAnsi="等线" w:eastAsia="等线"/>
        </w:rPr>
      </w:pPr>
      <w:r>
        <w:rPr>
          <w:rStyle w:val="47"/>
          <w:color w:val="auto"/>
        </w:rPr>
        <w:t>10.1变更的范围</w:t>
      </w:r>
      <w:r>
        <w:tab/>
      </w:r>
      <w:r>
        <w:t>32</w:t>
      </w:r>
    </w:p>
    <w:p>
      <w:pPr>
        <w:pStyle w:val="19"/>
        <w:ind w:firstLine="420"/>
        <w:rPr>
          <w:rFonts w:ascii="等线" w:hAnsi="等线" w:eastAsia="等线"/>
        </w:rPr>
      </w:pPr>
      <w:r>
        <w:rPr>
          <w:rStyle w:val="47"/>
          <w:color w:val="auto"/>
        </w:rPr>
        <w:t>10.2变更权</w:t>
      </w:r>
      <w:r>
        <w:tab/>
      </w:r>
      <w:r>
        <w:t>32</w:t>
      </w:r>
    </w:p>
    <w:p>
      <w:pPr>
        <w:pStyle w:val="19"/>
        <w:ind w:firstLine="420"/>
        <w:rPr>
          <w:rFonts w:ascii="等线" w:hAnsi="等线" w:eastAsia="等线"/>
        </w:rPr>
      </w:pPr>
      <w:r>
        <w:rPr>
          <w:rStyle w:val="47"/>
          <w:color w:val="auto"/>
        </w:rPr>
        <w:t>10.3变更程序</w:t>
      </w:r>
      <w:r>
        <w:tab/>
      </w:r>
      <w:r>
        <w:t>32</w:t>
      </w:r>
    </w:p>
    <w:p>
      <w:pPr>
        <w:pStyle w:val="19"/>
        <w:ind w:firstLine="420"/>
        <w:rPr>
          <w:rFonts w:ascii="等线" w:hAnsi="等线" w:eastAsia="等线"/>
        </w:rPr>
      </w:pPr>
      <w:r>
        <w:rPr>
          <w:rStyle w:val="47"/>
          <w:color w:val="auto"/>
        </w:rPr>
        <w:t>10.4变更估价</w:t>
      </w:r>
      <w:r>
        <w:tab/>
      </w:r>
      <w:r>
        <w:t>33</w:t>
      </w:r>
    </w:p>
    <w:p>
      <w:pPr>
        <w:pStyle w:val="19"/>
        <w:ind w:firstLine="420"/>
        <w:rPr>
          <w:rFonts w:ascii="等线" w:hAnsi="等线" w:eastAsia="等线"/>
        </w:rPr>
      </w:pPr>
      <w:r>
        <w:rPr>
          <w:rStyle w:val="47"/>
          <w:color w:val="auto"/>
        </w:rPr>
        <w:t>10.5承包人的合理化建议</w:t>
      </w:r>
      <w:r>
        <w:tab/>
      </w:r>
      <w:r>
        <w:t>33</w:t>
      </w:r>
    </w:p>
    <w:p>
      <w:pPr>
        <w:pStyle w:val="19"/>
        <w:ind w:firstLine="420"/>
        <w:rPr>
          <w:rFonts w:ascii="等线" w:hAnsi="等线" w:eastAsia="等线"/>
        </w:rPr>
      </w:pPr>
      <w:r>
        <w:rPr>
          <w:rStyle w:val="47"/>
          <w:color w:val="auto"/>
        </w:rPr>
        <w:t>10.6变更引起的工期调整</w:t>
      </w:r>
      <w:r>
        <w:tab/>
      </w:r>
      <w:r>
        <w:t>33</w:t>
      </w:r>
    </w:p>
    <w:p>
      <w:pPr>
        <w:pStyle w:val="19"/>
        <w:ind w:firstLine="420"/>
        <w:rPr>
          <w:rFonts w:ascii="等线" w:hAnsi="等线" w:eastAsia="等线"/>
        </w:rPr>
      </w:pPr>
      <w:r>
        <w:rPr>
          <w:rStyle w:val="47"/>
          <w:color w:val="auto"/>
        </w:rPr>
        <w:t>10.7暂估价</w:t>
      </w:r>
      <w:r>
        <w:tab/>
      </w:r>
      <w:r>
        <w:t>33</w:t>
      </w:r>
    </w:p>
    <w:p>
      <w:pPr>
        <w:pStyle w:val="19"/>
        <w:ind w:firstLine="420"/>
        <w:rPr>
          <w:rFonts w:ascii="等线" w:hAnsi="等线" w:eastAsia="等线"/>
        </w:rPr>
      </w:pPr>
      <w:r>
        <w:rPr>
          <w:rStyle w:val="47"/>
          <w:color w:val="auto"/>
        </w:rPr>
        <w:t>10.8暂列金额</w:t>
      </w:r>
      <w:r>
        <w:tab/>
      </w:r>
      <w:r>
        <w:t>35</w:t>
      </w:r>
    </w:p>
    <w:p>
      <w:pPr>
        <w:pStyle w:val="19"/>
        <w:ind w:firstLine="420"/>
        <w:rPr>
          <w:rFonts w:ascii="等线" w:hAnsi="等线" w:eastAsia="等线"/>
        </w:rPr>
      </w:pPr>
      <w:r>
        <w:rPr>
          <w:rStyle w:val="47"/>
          <w:color w:val="auto"/>
        </w:rPr>
        <w:t>10.9计日工</w:t>
      </w:r>
      <w:r>
        <w:tab/>
      </w:r>
      <w:r>
        <w:t>35</w:t>
      </w:r>
    </w:p>
    <w:p>
      <w:pPr>
        <w:pStyle w:val="29"/>
        <w:ind w:firstLine="420"/>
        <w:rPr>
          <w:rFonts w:ascii="等线" w:hAnsi="等线" w:eastAsia="等线"/>
        </w:rPr>
      </w:pPr>
      <w:r>
        <w:rPr>
          <w:rStyle w:val="47"/>
          <w:color w:val="auto"/>
        </w:rPr>
        <w:t>11. 价格调整</w:t>
      </w:r>
      <w:r>
        <w:tab/>
      </w:r>
      <w:r>
        <w:t>35</w:t>
      </w:r>
    </w:p>
    <w:p>
      <w:pPr>
        <w:pStyle w:val="19"/>
        <w:ind w:firstLine="420"/>
        <w:rPr>
          <w:rFonts w:ascii="等线" w:hAnsi="等线" w:eastAsia="等线"/>
        </w:rPr>
      </w:pPr>
      <w:r>
        <w:rPr>
          <w:rStyle w:val="47"/>
          <w:color w:val="auto"/>
        </w:rPr>
        <w:t>11.1市场价格波动引起的调整</w:t>
      </w:r>
      <w:r>
        <w:tab/>
      </w:r>
      <w:r>
        <w:t>35</w:t>
      </w:r>
    </w:p>
    <w:p>
      <w:pPr>
        <w:pStyle w:val="19"/>
        <w:ind w:firstLine="420"/>
        <w:rPr>
          <w:rFonts w:ascii="等线" w:hAnsi="等线" w:eastAsia="等线"/>
        </w:rPr>
      </w:pPr>
      <w:r>
        <w:rPr>
          <w:rStyle w:val="47"/>
          <w:color w:val="auto"/>
        </w:rPr>
        <w:t>11.2法律变化引起的调整</w:t>
      </w:r>
      <w:r>
        <w:tab/>
      </w:r>
      <w:r>
        <w:t>37</w:t>
      </w:r>
    </w:p>
    <w:p>
      <w:pPr>
        <w:pStyle w:val="29"/>
        <w:ind w:firstLine="420"/>
        <w:rPr>
          <w:rFonts w:ascii="等线" w:hAnsi="等线" w:eastAsia="等线"/>
        </w:rPr>
      </w:pPr>
      <w:r>
        <w:rPr>
          <w:rStyle w:val="47"/>
          <w:color w:val="auto"/>
        </w:rPr>
        <w:t>12. 合同价格、计量与支付</w:t>
      </w:r>
      <w:r>
        <w:tab/>
      </w:r>
      <w:r>
        <w:t>37</w:t>
      </w:r>
    </w:p>
    <w:p>
      <w:pPr>
        <w:pStyle w:val="19"/>
        <w:ind w:firstLine="420"/>
        <w:rPr>
          <w:rFonts w:ascii="等线" w:hAnsi="等线" w:eastAsia="等线"/>
        </w:rPr>
      </w:pPr>
      <w:r>
        <w:rPr>
          <w:rStyle w:val="47"/>
          <w:color w:val="auto"/>
        </w:rPr>
        <w:t>12.1 合同价格形式</w:t>
      </w:r>
      <w:r>
        <w:tab/>
      </w:r>
      <w:r>
        <w:t>37</w:t>
      </w:r>
    </w:p>
    <w:p>
      <w:pPr>
        <w:pStyle w:val="19"/>
        <w:ind w:firstLine="420"/>
        <w:rPr>
          <w:rFonts w:ascii="等线" w:hAnsi="等线" w:eastAsia="等线"/>
        </w:rPr>
      </w:pPr>
      <w:r>
        <w:rPr>
          <w:rStyle w:val="47"/>
          <w:color w:val="auto"/>
        </w:rPr>
        <w:t>12.2预付款</w:t>
      </w:r>
      <w:r>
        <w:tab/>
      </w:r>
      <w:r>
        <w:t>38</w:t>
      </w:r>
    </w:p>
    <w:p>
      <w:pPr>
        <w:pStyle w:val="19"/>
        <w:ind w:firstLine="420"/>
        <w:rPr>
          <w:rFonts w:ascii="等线" w:hAnsi="等线" w:eastAsia="等线"/>
        </w:rPr>
      </w:pPr>
      <w:r>
        <w:rPr>
          <w:rStyle w:val="47"/>
          <w:color w:val="auto"/>
        </w:rPr>
        <w:t>12.3计量</w:t>
      </w:r>
      <w:r>
        <w:tab/>
      </w:r>
      <w:r>
        <w:t>38</w:t>
      </w:r>
    </w:p>
    <w:p>
      <w:pPr>
        <w:pStyle w:val="19"/>
        <w:ind w:firstLine="420"/>
        <w:rPr>
          <w:rFonts w:ascii="等线" w:hAnsi="等线" w:eastAsia="等线"/>
        </w:rPr>
      </w:pPr>
      <w:r>
        <w:rPr>
          <w:rStyle w:val="47"/>
          <w:color w:val="auto"/>
        </w:rPr>
        <w:t>12.4工程进度款支付</w:t>
      </w:r>
      <w:r>
        <w:tab/>
      </w:r>
      <w:r>
        <w:t>39</w:t>
      </w:r>
    </w:p>
    <w:p>
      <w:pPr>
        <w:pStyle w:val="19"/>
        <w:ind w:firstLine="420"/>
        <w:rPr>
          <w:rFonts w:ascii="等线" w:hAnsi="等线" w:eastAsia="等线"/>
        </w:rPr>
      </w:pPr>
      <w:r>
        <w:rPr>
          <w:rStyle w:val="47"/>
          <w:color w:val="auto"/>
        </w:rPr>
        <w:t>12.5支付账户</w:t>
      </w:r>
      <w:r>
        <w:tab/>
      </w:r>
      <w:r>
        <w:t>41</w:t>
      </w:r>
    </w:p>
    <w:p>
      <w:pPr>
        <w:pStyle w:val="29"/>
        <w:ind w:firstLine="420"/>
        <w:rPr>
          <w:rFonts w:ascii="等线" w:hAnsi="等线" w:eastAsia="等线"/>
        </w:rPr>
      </w:pPr>
      <w:r>
        <w:rPr>
          <w:rStyle w:val="47"/>
          <w:color w:val="auto"/>
        </w:rPr>
        <w:t>13. 验收和工程试车</w:t>
      </w:r>
      <w:r>
        <w:tab/>
      </w:r>
      <w:r>
        <w:t>41</w:t>
      </w:r>
    </w:p>
    <w:p>
      <w:pPr>
        <w:pStyle w:val="19"/>
        <w:ind w:firstLine="420"/>
        <w:rPr>
          <w:rFonts w:ascii="等线" w:hAnsi="等线" w:eastAsia="等线"/>
        </w:rPr>
      </w:pPr>
      <w:r>
        <w:rPr>
          <w:rStyle w:val="47"/>
          <w:color w:val="auto"/>
        </w:rPr>
        <w:t>13.1分部分项工程验收</w:t>
      </w:r>
      <w:r>
        <w:tab/>
      </w:r>
      <w:r>
        <w:t>41</w:t>
      </w:r>
    </w:p>
    <w:p>
      <w:pPr>
        <w:pStyle w:val="19"/>
        <w:ind w:firstLine="420"/>
        <w:rPr>
          <w:rFonts w:ascii="等线" w:hAnsi="等线" w:eastAsia="等线"/>
        </w:rPr>
      </w:pPr>
      <w:r>
        <w:rPr>
          <w:rStyle w:val="47"/>
          <w:color w:val="auto"/>
        </w:rPr>
        <w:t>13.2竣工验收</w:t>
      </w:r>
      <w:r>
        <w:tab/>
      </w:r>
      <w:r>
        <w:t>41</w:t>
      </w:r>
    </w:p>
    <w:p>
      <w:pPr>
        <w:pStyle w:val="19"/>
        <w:ind w:firstLine="420"/>
        <w:rPr>
          <w:rFonts w:ascii="等线" w:hAnsi="等线" w:eastAsia="等线"/>
        </w:rPr>
      </w:pPr>
      <w:r>
        <w:rPr>
          <w:rStyle w:val="47"/>
          <w:color w:val="auto"/>
        </w:rPr>
        <w:t>13.3工程试车</w:t>
      </w:r>
      <w:r>
        <w:tab/>
      </w:r>
      <w:r>
        <w:t>43</w:t>
      </w:r>
    </w:p>
    <w:p>
      <w:pPr>
        <w:pStyle w:val="19"/>
        <w:ind w:firstLine="420"/>
        <w:rPr>
          <w:rFonts w:ascii="等线" w:hAnsi="等线" w:eastAsia="等线"/>
        </w:rPr>
      </w:pPr>
      <w:r>
        <w:rPr>
          <w:rStyle w:val="47"/>
          <w:color w:val="auto"/>
        </w:rPr>
        <w:t>13.4提前交付单位工程的验收</w:t>
      </w:r>
      <w:r>
        <w:tab/>
      </w:r>
      <w:r>
        <w:t>44</w:t>
      </w:r>
    </w:p>
    <w:p>
      <w:pPr>
        <w:pStyle w:val="19"/>
        <w:ind w:firstLine="420"/>
        <w:rPr>
          <w:rFonts w:ascii="等线" w:hAnsi="等线" w:eastAsia="等线"/>
        </w:rPr>
      </w:pPr>
      <w:r>
        <w:rPr>
          <w:rStyle w:val="47"/>
          <w:color w:val="auto"/>
        </w:rPr>
        <w:t>13.5 施工期运行</w:t>
      </w:r>
      <w:r>
        <w:tab/>
      </w:r>
      <w:r>
        <w:t>44</w:t>
      </w:r>
    </w:p>
    <w:p>
      <w:pPr>
        <w:pStyle w:val="19"/>
        <w:ind w:firstLine="420"/>
        <w:rPr>
          <w:rFonts w:ascii="等线" w:hAnsi="等线" w:eastAsia="等线"/>
        </w:rPr>
      </w:pPr>
      <w:r>
        <w:rPr>
          <w:rStyle w:val="47"/>
          <w:color w:val="auto"/>
        </w:rPr>
        <w:t>13.6 竣工退场</w:t>
      </w:r>
      <w:r>
        <w:tab/>
      </w:r>
      <w:r>
        <w:t>44</w:t>
      </w:r>
    </w:p>
    <w:p>
      <w:pPr>
        <w:pStyle w:val="29"/>
        <w:ind w:firstLine="420"/>
        <w:rPr>
          <w:rFonts w:ascii="等线" w:hAnsi="等线" w:eastAsia="等线"/>
        </w:rPr>
      </w:pPr>
      <w:r>
        <w:rPr>
          <w:rStyle w:val="47"/>
          <w:color w:val="auto"/>
        </w:rPr>
        <w:t>14. 竣工结算</w:t>
      </w:r>
      <w:r>
        <w:tab/>
      </w:r>
      <w:r>
        <w:t>45</w:t>
      </w:r>
    </w:p>
    <w:p>
      <w:pPr>
        <w:pStyle w:val="19"/>
        <w:ind w:firstLine="420"/>
        <w:rPr>
          <w:rFonts w:ascii="等线" w:hAnsi="等线" w:eastAsia="等线"/>
        </w:rPr>
      </w:pPr>
      <w:r>
        <w:rPr>
          <w:rStyle w:val="47"/>
          <w:color w:val="auto"/>
        </w:rPr>
        <w:t>14.1 竣工结算申请</w:t>
      </w:r>
      <w:r>
        <w:tab/>
      </w:r>
      <w:r>
        <w:t>45</w:t>
      </w:r>
    </w:p>
    <w:p>
      <w:pPr>
        <w:pStyle w:val="19"/>
        <w:ind w:firstLine="420"/>
        <w:rPr>
          <w:rFonts w:ascii="等线" w:hAnsi="等线" w:eastAsia="等线"/>
        </w:rPr>
      </w:pPr>
      <w:r>
        <w:rPr>
          <w:rStyle w:val="47"/>
          <w:color w:val="auto"/>
        </w:rPr>
        <w:t>14.2 竣工结算审核</w:t>
      </w:r>
      <w:r>
        <w:tab/>
      </w:r>
      <w:r>
        <w:t>45</w:t>
      </w:r>
    </w:p>
    <w:p>
      <w:pPr>
        <w:pStyle w:val="19"/>
        <w:ind w:firstLine="420"/>
        <w:rPr>
          <w:rFonts w:ascii="等线" w:hAnsi="等线" w:eastAsia="等线"/>
        </w:rPr>
      </w:pPr>
      <w:r>
        <w:rPr>
          <w:rStyle w:val="47"/>
          <w:color w:val="auto"/>
        </w:rPr>
        <w:t>14.3 甩项竣工协议</w:t>
      </w:r>
      <w:r>
        <w:tab/>
      </w:r>
      <w:r>
        <w:t>45</w:t>
      </w:r>
    </w:p>
    <w:p>
      <w:pPr>
        <w:pStyle w:val="19"/>
        <w:ind w:firstLine="420"/>
        <w:rPr>
          <w:rFonts w:ascii="等线" w:hAnsi="等线" w:eastAsia="等线"/>
        </w:rPr>
      </w:pPr>
      <w:r>
        <w:rPr>
          <w:rStyle w:val="47"/>
          <w:color w:val="auto"/>
        </w:rPr>
        <w:t>14.4 最终结清</w:t>
      </w:r>
      <w:r>
        <w:tab/>
      </w:r>
      <w:r>
        <w:t>46</w:t>
      </w:r>
    </w:p>
    <w:p>
      <w:pPr>
        <w:pStyle w:val="29"/>
        <w:ind w:firstLine="420"/>
        <w:rPr>
          <w:rFonts w:ascii="等线" w:hAnsi="等线" w:eastAsia="等线"/>
        </w:rPr>
      </w:pPr>
      <w:r>
        <w:rPr>
          <w:rStyle w:val="47"/>
          <w:color w:val="auto"/>
        </w:rPr>
        <w:t>15. 缺陷责任与保修</w:t>
      </w:r>
      <w:r>
        <w:tab/>
      </w:r>
      <w:r>
        <w:t>46</w:t>
      </w:r>
    </w:p>
    <w:p>
      <w:pPr>
        <w:pStyle w:val="19"/>
        <w:ind w:firstLine="420"/>
        <w:rPr>
          <w:rFonts w:ascii="等线" w:hAnsi="等线" w:eastAsia="等线"/>
        </w:rPr>
      </w:pPr>
      <w:r>
        <w:rPr>
          <w:rStyle w:val="47"/>
          <w:color w:val="auto"/>
        </w:rPr>
        <w:t>15.1 工程保修的原则</w:t>
      </w:r>
      <w:r>
        <w:tab/>
      </w:r>
      <w:r>
        <w:t>46</w:t>
      </w:r>
    </w:p>
    <w:p>
      <w:pPr>
        <w:pStyle w:val="19"/>
        <w:ind w:firstLine="420"/>
        <w:rPr>
          <w:rFonts w:ascii="等线" w:hAnsi="等线" w:eastAsia="等线"/>
        </w:rPr>
      </w:pPr>
      <w:r>
        <w:rPr>
          <w:rStyle w:val="47"/>
          <w:color w:val="auto"/>
        </w:rPr>
        <w:t>15.2 缺陷责任期</w:t>
      </w:r>
      <w:r>
        <w:tab/>
      </w:r>
      <w:r>
        <w:t>46</w:t>
      </w:r>
    </w:p>
    <w:p>
      <w:pPr>
        <w:pStyle w:val="19"/>
        <w:ind w:firstLine="420"/>
        <w:rPr>
          <w:rFonts w:ascii="等线" w:hAnsi="等线" w:eastAsia="等线"/>
        </w:rPr>
      </w:pPr>
      <w:r>
        <w:rPr>
          <w:rStyle w:val="47"/>
          <w:color w:val="auto"/>
        </w:rPr>
        <w:t>15.3 质量保证金</w:t>
      </w:r>
      <w:r>
        <w:tab/>
      </w:r>
      <w:r>
        <w:t>47</w:t>
      </w:r>
    </w:p>
    <w:p>
      <w:pPr>
        <w:pStyle w:val="19"/>
        <w:ind w:firstLine="420"/>
        <w:rPr>
          <w:rFonts w:ascii="等线" w:hAnsi="等线" w:eastAsia="等线"/>
        </w:rPr>
      </w:pPr>
      <w:r>
        <w:rPr>
          <w:rStyle w:val="47"/>
          <w:color w:val="auto"/>
        </w:rPr>
        <w:t>15.4 保修</w:t>
      </w:r>
      <w:r>
        <w:tab/>
      </w:r>
      <w:r>
        <w:t>48</w:t>
      </w:r>
    </w:p>
    <w:p>
      <w:pPr>
        <w:pStyle w:val="29"/>
        <w:ind w:firstLine="420"/>
        <w:rPr>
          <w:rFonts w:ascii="等线" w:hAnsi="等线" w:eastAsia="等线"/>
        </w:rPr>
      </w:pPr>
      <w:r>
        <w:rPr>
          <w:rStyle w:val="47"/>
          <w:color w:val="auto"/>
        </w:rPr>
        <w:t>16. 违约</w:t>
      </w:r>
      <w:r>
        <w:tab/>
      </w:r>
      <w:r>
        <w:t>49</w:t>
      </w:r>
    </w:p>
    <w:p>
      <w:pPr>
        <w:pStyle w:val="19"/>
        <w:ind w:firstLine="420"/>
        <w:rPr>
          <w:rFonts w:ascii="等线" w:hAnsi="等线" w:eastAsia="等线"/>
        </w:rPr>
      </w:pPr>
      <w:r>
        <w:rPr>
          <w:rStyle w:val="47"/>
          <w:color w:val="auto"/>
        </w:rPr>
        <w:t>16.1 发包人违约</w:t>
      </w:r>
      <w:r>
        <w:tab/>
      </w:r>
      <w:r>
        <w:t>49</w:t>
      </w:r>
    </w:p>
    <w:p>
      <w:pPr>
        <w:pStyle w:val="19"/>
        <w:ind w:firstLine="420"/>
        <w:rPr>
          <w:rFonts w:ascii="等线" w:hAnsi="等线" w:eastAsia="等线"/>
        </w:rPr>
      </w:pPr>
      <w:r>
        <w:rPr>
          <w:rStyle w:val="47"/>
          <w:color w:val="auto"/>
        </w:rPr>
        <w:t>16.2 承包人违约</w:t>
      </w:r>
      <w:r>
        <w:tab/>
      </w:r>
      <w:r>
        <w:t>50</w:t>
      </w:r>
    </w:p>
    <w:p>
      <w:pPr>
        <w:pStyle w:val="19"/>
        <w:ind w:firstLine="420"/>
        <w:rPr>
          <w:rFonts w:ascii="等线" w:hAnsi="等线" w:eastAsia="等线"/>
        </w:rPr>
      </w:pPr>
      <w:r>
        <w:rPr>
          <w:rStyle w:val="47"/>
          <w:color w:val="auto"/>
        </w:rPr>
        <w:t>16.3 第三人造成的违约</w:t>
      </w:r>
      <w:r>
        <w:tab/>
      </w:r>
      <w:r>
        <w:t>51</w:t>
      </w:r>
    </w:p>
    <w:p>
      <w:pPr>
        <w:pStyle w:val="29"/>
        <w:ind w:firstLine="420"/>
        <w:rPr>
          <w:rFonts w:ascii="等线" w:hAnsi="等线" w:eastAsia="等线"/>
        </w:rPr>
      </w:pPr>
      <w:r>
        <w:rPr>
          <w:rStyle w:val="47"/>
          <w:color w:val="auto"/>
        </w:rPr>
        <w:t>17. 不可抗力</w:t>
      </w:r>
      <w:r>
        <w:tab/>
      </w:r>
      <w:r>
        <w:t>51</w:t>
      </w:r>
    </w:p>
    <w:p>
      <w:pPr>
        <w:pStyle w:val="19"/>
        <w:ind w:firstLine="420"/>
        <w:rPr>
          <w:rFonts w:ascii="等线" w:hAnsi="等线" w:eastAsia="等线"/>
        </w:rPr>
      </w:pPr>
      <w:r>
        <w:rPr>
          <w:rStyle w:val="47"/>
          <w:color w:val="auto"/>
        </w:rPr>
        <w:t>17.1 不可抗力的确认</w:t>
      </w:r>
      <w:r>
        <w:tab/>
      </w:r>
      <w:r>
        <w:t>51</w:t>
      </w:r>
    </w:p>
    <w:p>
      <w:pPr>
        <w:pStyle w:val="19"/>
        <w:ind w:firstLine="420"/>
        <w:rPr>
          <w:rFonts w:ascii="等线" w:hAnsi="等线" w:eastAsia="等线"/>
        </w:rPr>
      </w:pPr>
      <w:r>
        <w:rPr>
          <w:rStyle w:val="47"/>
          <w:color w:val="auto"/>
        </w:rPr>
        <w:t>17.2 不可抗力的通知</w:t>
      </w:r>
      <w:r>
        <w:tab/>
      </w:r>
      <w:r>
        <w:t>51</w:t>
      </w:r>
    </w:p>
    <w:p>
      <w:pPr>
        <w:pStyle w:val="19"/>
        <w:ind w:firstLine="420"/>
        <w:rPr>
          <w:rFonts w:ascii="等线" w:hAnsi="等线" w:eastAsia="等线"/>
        </w:rPr>
      </w:pPr>
      <w:r>
        <w:rPr>
          <w:rStyle w:val="47"/>
          <w:color w:val="auto"/>
        </w:rPr>
        <w:t>17.3 不可抗力后果的承担</w:t>
      </w:r>
      <w:r>
        <w:tab/>
      </w:r>
      <w:r>
        <w:t>52</w:t>
      </w:r>
    </w:p>
    <w:p>
      <w:pPr>
        <w:pStyle w:val="19"/>
        <w:ind w:firstLine="420"/>
        <w:rPr>
          <w:rFonts w:ascii="等线" w:hAnsi="等线" w:eastAsia="等线"/>
        </w:rPr>
      </w:pPr>
      <w:r>
        <w:rPr>
          <w:rStyle w:val="47"/>
          <w:color w:val="auto"/>
        </w:rPr>
        <w:t>17.4 因不可抗力解除合同</w:t>
      </w:r>
      <w:r>
        <w:tab/>
      </w:r>
      <w:r>
        <w:t>52</w:t>
      </w:r>
    </w:p>
    <w:p>
      <w:pPr>
        <w:pStyle w:val="29"/>
        <w:ind w:firstLine="420"/>
        <w:rPr>
          <w:rFonts w:ascii="等线" w:hAnsi="等线" w:eastAsia="等线"/>
        </w:rPr>
      </w:pPr>
      <w:r>
        <w:rPr>
          <w:rStyle w:val="47"/>
          <w:color w:val="auto"/>
        </w:rPr>
        <w:t>18. 保险</w:t>
      </w:r>
      <w:r>
        <w:tab/>
      </w:r>
      <w:r>
        <w:t>53</w:t>
      </w:r>
    </w:p>
    <w:p>
      <w:pPr>
        <w:pStyle w:val="19"/>
        <w:ind w:firstLine="420"/>
        <w:rPr>
          <w:rFonts w:ascii="等线" w:hAnsi="等线" w:eastAsia="等线"/>
        </w:rPr>
      </w:pPr>
      <w:r>
        <w:rPr>
          <w:rStyle w:val="47"/>
          <w:color w:val="auto"/>
        </w:rPr>
        <w:t>18.1 工程保险</w:t>
      </w:r>
      <w:r>
        <w:tab/>
      </w:r>
      <w:r>
        <w:t>53</w:t>
      </w:r>
    </w:p>
    <w:p>
      <w:pPr>
        <w:pStyle w:val="19"/>
        <w:ind w:firstLine="420"/>
        <w:rPr>
          <w:rFonts w:ascii="等线" w:hAnsi="等线" w:eastAsia="等线"/>
        </w:rPr>
      </w:pPr>
      <w:r>
        <w:rPr>
          <w:rStyle w:val="47"/>
          <w:color w:val="auto"/>
        </w:rPr>
        <w:t>18.2 工伤保险</w:t>
      </w:r>
      <w:r>
        <w:tab/>
      </w:r>
      <w:r>
        <w:t>53</w:t>
      </w:r>
    </w:p>
    <w:p>
      <w:pPr>
        <w:pStyle w:val="19"/>
        <w:ind w:firstLine="420"/>
        <w:rPr>
          <w:rFonts w:ascii="等线" w:hAnsi="等线" w:eastAsia="等线"/>
        </w:rPr>
      </w:pPr>
      <w:r>
        <w:rPr>
          <w:rStyle w:val="47"/>
          <w:color w:val="auto"/>
        </w:rPr>
        <w:t>18.3其他保险</w:t>
      </w:r>
      <w:r>
        <w:tab/>
      </w:r>
      <w:r>
        <w:t>53</w:t>
      </w:r>
    </w:p>
    <w:p>
      <w:pPr>
        <w:pStyle w:val="19"/>
        <w:ind w:firstLine="420"/>
        <w:rPr>
          <w:rFonts w:ascii="等线" w:hAnsi="等线" w:eastAsia="等线"/>
        </w:rPr>
      </w:pPr>
      <w:r>
        <w:rPr>
          <w:rStyle w:val="47"/>
          <w:color w:val="auto"/>
        </w:rPr>
        <w:t>18.4持续保险</w:t>
      </w:r>
      <w:r>
        <w:tab/>
      </w:r>
      <w:r>
        <w:t>53</w:t>
      </w:r>
    </w:p>
    <w:p>
      <w:pPr>
        <w:pStyle w:val="19"/>
        <w:ind w:firstLine="420"/>
        <w:rPr>
          <w:rFonts w:ascii="等线" w:hAnsi="等线" w:eastAsia="等线"/>
        </w:rPr>
      </w:pPr>
      <w:r>
        <w:rPr>
          <w:rStyle w:val="47"/>
          <w:color w:val="auto"/>
        </w:rPr>
        <w:t>18.5 保险凭证</w:t>
      </w:r>
      <w:r>
        <w:tab/>
      </w:r>
      <w:r>
        <w:t>53</w:t>
      </w:r>
    </w:p>
    <w:p>
      <w:pPr>
        <w:pStyle w:val="19"/>
        <w:ind w:firstLine="420"/>
        <w:rPr>
          <w:rFonts w:ascii="等线" w:hAnsi="等线" w:eastAsia="等线"/>
        </w:rPr>
      </w:pPr>
      <w:r>
        <w:rPr>
          <w:rStyle w:val="47"/>
          <w:color w:val="auto"/>
        </w:rPr>
        <w:t>18.6 未按约定投保的补救</w:t>
      </w:r>
      <w:r>
        <w:tab/>
      </w:r>
      <w:r>
        <w:t>53</w:t>
      </w:r>
    </w:p>
    <w:p>
      <w:pPr>
        <w:pStyle w:val="19"/>
        <w:ind w:firstLine="420"/>
        <w:rPr>
          <w:rFonts w:ascii="等线" w:hAnsi="等线" w:eastAsia="等线"/>
        </w:rPr>
      </w:pPr>
      <w:r>
        <w:rPr>
          <w:rStyle w:val="47"/>
          <w:color w:val="auto"/>
        </w:rPr>
        <w:t>18.7 通知义务</w:t>
      </w:r>
      <w:r>
        <w:tab/>
      </w:r>
      <w:r>
        <w:t>54</w:t>
      </w:r>
    </w:p>
    <w:p>
      <w:pPr>
        <w:pStyle w:val="29"/>
        <w:ind w:firstLine="420"/>
        <w:rPr>
          <w:rFonts w:ascii="等线" w:hAnsi="等线" w:eastAsia="等线"/>
        </w:rPr>
      </w:pPr>
      <w:r>
        <w:rPr>
          <w:rStyle w:val="47"/>
          <w:color w:val="auto"/>
        </w:rPr>
        <w:t>19. 索赔</w:t>
      </w:r>
      <w:r>
        <w:tab/>
      </w:r>
      <w:r>
        <w:t>54</w:t>
      </w:r>
    </w:p>
    <w:p>
      <w:pPr>
        <w:pStyle w:val="19"/>
        <w:ind w:firstLine="420"/>
        <w:rPr>
          <w:rFonts w:ascii="等线" w:hAnsi="等线" w:eastAsia="等线"/>
        </w:rPr>
      </w:pPr>
      <w:r>
        <w:rPr>
          <w:rStyle w:val="47"/>
          <w:color w:val="auto"/>
        </w:rPr>
        <w:t>19.1承包人的索赔</w:t>
      </w:r>
      <w:r>
        <w:tab/>
      </w:r>
      <w:r>
        <w:t>54</w:t>
      </w:r>
    </w:p>
    <w:p>
      <w:pPr>
        <w:pStyle w:val="19"/>
        <w:ind w:firstLine="420"/>
        <w:rPr>
          <w:rFonts w:ascii="等线" w:hAnsi="等线" w:eastAsia="等线"/>
        </w:rPr>
      </w:pPr>
      <w:r>
        <w:rPr>
          <w:rStyle w:val="47"/>
          <w:color w:val="auto"/>
        </w:rPr>
        <w:t>19.2 对承包人索赔的处理</w:t>
      </w:r>
      <w:r>
        <w:tab/>
      </w:r>
      <w:r>
        <w:t>54</w:t>
      </w:r>
    </w:p>
    <w:p>
      <w:pPr>
        <w:pStyle w:val="19"/>
        <w:ind w:firstLine="420"/>
        <w:rPr>
          <w:rFonts w:ascii="等线" w:hAnsi="等线" w:eastAsia="等线"/>
        </w:rPr>
      </w:pPr>
      <w:r>
        <w:rPr>
          <w:rStyle w:val="47"/>
          <w:color w:val="auto"/>
        </w:rPr>
        <w:t>19.3发包人的索赔</w:t>
      </w:r>
      <w:r>
        <w:tab/>
      </w:r>
      <w:r>
        <w:t>55</w:t>
      </w:r>
    </w:p>
    <w:p>
      <w:pPr>
        <w:pStyle w:val="19"/>
        <w:ind w:firstLine="420"/>
        <w:rPr>
          <w:rFonts w:ascii="等线" w:hAnsi="等线" w:eastAsia="等线"/>
        </w:rPr>
      </w:pPr>
      <w:r>
        <w:rPr>
          <w:rStyle w:val="47"/>
          <w:color w:val="auto"/>
        </w:rPr>
        <w:t>19.4 对发包人索赔的处理</w:t>
      </w:r>
      <w:r>
        <w:tab/>
      </w:r>
      <w:r>
        <w:t>55</w:t>
      </w:r>
    </w:p>
    <w:p>
      <w:pPr>
        <w:pStyle w:val="19"/>
        <w:ind w:firstLine="420"/>
        <w:rPr>
          <w:rFonts w:ascii="等线" w:hAnsi="等线" w:eastAsia="等线"/>
        </w:rPr>
      </w:pPr>
      <w:r>
        <w:rPr>
          <w:rStyle w:val="47"/>
          <w:color w:val="auto"/>
        </w:rPr>
        <w:t>19.5 提出索赔的期限</w:t>
      </w:r>
      <w:r>
        <w:tab/>
      </w:r>
      <w:r>
        <w:t>55</w:t>
      </w:r>
    </w:p>
    <w:p>
      <w:pPr>
        <w:pStyle w:val="29"/>
        <w:ind w:firstLine="420"/>
        <w:rPr>
          <w:rFonts w:ascii="等线" w:hAnsi="等线" w:eastAsia="等线"/>
        </w:rPr>
      </w:pPr>
      <w:r>
        <w:rPr>
          <w:rStyle w:val="47"/>
          <w:color w:val="auto"/>
        </w:rPr>
        <w:t>20. 争议解决</w:t>
      </w:r>
      <w:r>
        <w:tab/>
      </w:r>
      <w:r>
        <w:t>55</w:t>
      </w:r>
    </w:p>
    <w:p>
      <w:pPr>
        <w:pStyle w:val="19"/>
        <w:ind w:firstLine="420"/>
        <w:rPr>
          <w:rFonts w:ascii="等线" w:hAnsi="等线" w:eastAsia="等线"/>
        </w:rPr>
      </w:pPr>
      <w:r>
        <w:rPr>
          <w:rStyle w:val="47"/>
          <w:color w:val="auto"/>
        </w:rPr>
        <w:t>20.1和解</w:t>
      </w:r>
      <w:r>
        <w:tab/>
      </w:r>
      <w:r>
        <w:t>55</w:t>
      </w:r>
    </w:p>
    <w:p>
      <w:pPr>
        <w:pStyle w:val="19"/>
        <w:ind w:firstLine="420"/>
        <w:rPr>
          <w:rFonts w:ascii="等线" w:hAnsi="等线" w:eastAsia="等线"/>
        </w:rPr>
      </w:pPr>
      <w:r>
        <w:rPr>
          <w:rStyle w:val="47"/>
          <w:color w:val="auto"/>
        </w:rPr>
        <w:t>20.2调解</w:t>
      </w:r>
      <w:r>
        <w:tab/>
      </w:r>
      <w:r>
        <w:t>55</w:t>
      </w:r>
    </w:p>
    <w:p>
      <w:pPr>
        <w:pStyle w:val="19"/>
        <w:ind w:firstLine="420"/>
        <w:rPr>
          <w:rFonts w:ascii="等线" w:hAnsi="等线" w:eastAsia="等线"/>
        </w:rPr>
      </w:pPr>
      <w:r>
        <w:rPr>
          <w:rStyle w:val="47"/>
          <w:color w:val="auto"/>
        </w:rPr>
        <w:t>20.3争议评审</w:t>
      </w:r>
      <w:r>
        <w:tab/>
      </w:r>
      <w:r>
        <w:t>56</w:t>
      </w:r>
    </w:p>
    <w:p>
      <w:pPr>
        <w:pStyle w:val="19"/>
        <w:ind w:firstLine="420"/>
        <w:rPr>
          <w:rFonts w:ascii="等线" w:hAnsi="等线" w:eastAsia="等线"/>
        </w:rPr>
      </w:pPr>
      <w:r>
        <w:rPr>
          <w:rStyle w:val="47"/>
          <w:color w:val="auto"/>
        </w:rPr>
        <w:t>20.4仲裁或诉讼</w:t>
      </w:r>
      <w:r>
        <w:tab/>
      </w:r>
      <w:r>
        <w:t>56</w:t>
      </w:r>
    </w:p>
    <w:p>
      <w:pPr>
        <w:pStyle w:val="19"/>
        <w:ind w:firstLine="420"/>
        <w:rPr>
          <w:rFonts w:ascii="等线" w:hAnsi="等线" w:eastAsia="等线"/>
        </w:rPr>
      </w:pPr>
      <w:r>
        <w:rPr>
          <w:rStyle w:val="47"/>
          <w:color w:val="auto"/>
        </w:rPr>
        <w:t>20.5争议解决条款效力</w:t>
      </w:r>
      <w:r>
        <w:tab/>
      </w:r>
      <w:r>
        <w:t>56</w:t>
      </w:r>
    </w:p>
    <w:p>
      <w:pPr>
        <w:pStyle w:val="20"/>
        <w:tabs>
          <w:tab w:val="right" w:leader="dot" w:pos="8810"/>
        </w:tabs>
        <w:ind w:firstLine="420"/>
        <w:rPr>
          <w:rFonts w:ascii="等线" w:hAnsi="等线" w:eastAsia="等线"/>
        </w:rPr>
      </w:pPr>
      <w:r>
        <w:rPr>
          <w:rStyle w:val="47"/>
          <w:color w:val="auto"/>
        </w:rPr>
        <w:t>第三部分 专用合同条款</w:t>
      </w:r>
      <w:r>
        <w:tab/>
      </w:r>
      <w:r>
        <w:t>57</w:t>
      </w:r>
    </w:p>
    <w:p>
      <w:pPr>
        <w:pStyle w:val="29"/>
        <w:ind w:firstLine="420"/>
        <w:rPr>
          <w:rFonts w:ascii="等线" w:hAnsi="等线" w:eastAsia="等线"/>
        </w:rPr>
      </w:pPr>
      <w:r>
        <w:rPr>
          <w:rStyle w:val="47"/>
          <w:color w:val="auto"/>
        </w:rPr>
        <w:t>1. 一般约定</w:t>
      </w:r>
      <w:r>
        <w:tab/>
      </w:r>
      <w:r>
        <w:t>57</w:t>
      </w:r>
    </w:p>
    <w:p>
      <w:pPr>
        <w:pStyle w:val="19"/>
        <w:ind w:firstLine="420"/>
        <w:rPr>
          <w:rFonts w:ascii="等线" w:hAnsi="等线" w:eastAsia="等线"/>
        </w:rPr>
      </w:pPr>
      <w:r>
        <w:rPr>
          <w:rStyle w:val="47"/>
          <w:color w:val="auto"/>
        </w:rPr>
        <w:t>1.1 词语定义</w:t>
      </w:r>
      <w:r>
        <w:tab/>
      </w:r>
      <w:r>
        <w:t>57</w:t>
      </w:r>
    </w:p>
    <w:p>
      <w:pPr>
        <w:pStyle w:val="19"/>
        <w:ind w:firstLine="420"/>
        <w:rPr>
          <w:rFonts w:ascii="等线" w:hAnsi="等线" w:eastAsia="等线"/>
        </w:rPr>
      </w:pPr>
      <w:r>
        <w:rPr>
          <w:rStyle w:val="47"/>
          <w:color w:val="auto"/>
        </w:rPr>
        <w:t>1.2 合同当事人及其他相关方</w:t>
      </w:r>
      <w:r>
        <w:tab/>
      </w:r>
      <w:r>
        <w:t>57</w:t>
      </w:r>
    </w:p>
    <w:p>
      <w:pPr>
        <w:pStyle w:val="19"/>
        <w:ind w:firstLine="420"/>
        <w:rPr>
          <w:rFonts w:ascii="等线" w:hAnsi="等线" w:eastAsia="等线"/>
        </w:rPr>
      </w:pPr>
      <w:r>
        <w:rPr>
          <w:rStyle w:val="47"/>
          <w:color w:val="auto"/>
        </w:rPr>
        <w:t>1.3 工程和设备</w:t>
      </w:r>
      <w:r>
        <w:tab/>
      </w:r>
      <w:r>
        <w:t>57</w:t>
      </w:r>
    </w:p>
    <w:p>
      <w:pPr>
        <w:pStyle w:val="19"/>
        <w:ind w:firstLine="420"/>
        <w:rPr>
          <w:rFonts w:ascii="等线" w:hAnsi="等线" w:eastAsia="等线"/>
        </w:rPr>
      </w:pPr>
      <w:r>
        <w:rPr>
          <w:rStyle w:val="47"/>
          <w:color w:val="auto"/>
        </w:rPr>
        <w:t>1.4法律</w:t>
      </w:r>
      <w:r>
        <w:tab/>
      </w:r>
      <w:r>
        <w:t>57</w:t>
      </w:r>
    </w:p>
    <w:p>
      <w:pPr>
        <w:pStyle w:val="19"/>
        <w:ind w:firstLine="420"/>
        <w:rPr>
          <w:rFonts w:ascii="等线" w:hAnsi="等线" w:eastAsia="等线"/>
        </w:rPr>
      </w:pPr>
      <w:r>
        <w:rPr>
          <w:rStyle w:val="47"/>
          <w:color w:val="auto"/>
        </w:rPr>
        <w:t>1.5 标准和规范</w:t>
      </w:r>
      <w:r>
        <w:tab/>
      </w:r>
      <w:r>
        <w:t>57</w:t>
      </w:r>
    </w:p>
    <w:p>
      <w:pPr>
        <w:pStyle w:val="19"/>
        <w:ind w:firstLine="420"/>
        <w:rPr>
          <w:rFonts w:ascii="等线" w:hAnsi="等线" w:eastAsia="等线"/>
        </w:rPr>
      </w:pPr>
      <w:r>
        <w:rPr>
          <w:rStyle w:val="47"/>
          <w:color w:val="auto"/>
        </w:rPr>
        <w:t>1.6 合同文件的优先顺序</w:t>
      </w:r>
      <w:r>
        <w:tab/>
      </w:r>
      <w:r>
        <w:t>58</w:t>
      </w:r>
    </w:p>
    <w:p>
      <w:pPr>
        <w:pStyle w:val="19"/>
        <w:ind w:firstLine="420"/>
        <w:rPr>
          <w:rFonts w:ascii="等线" w:hAnsi="等线" w:eastAsia="等线"/>
        </w:rPr>
      </w:pPr>
      <w:r>
        <w:rPr>
          <w:rStyle w:val="47"/>
          <w:color w:val="auto"/>
        </w:rPr>
        <w:t>1.7 图纸和承包人文件</w:t>
      </w:r>
      <w:r>
        <w:tab/>
      </w:r>
      <w:r>
        <w:t>58</w:t>
      </w:r>
    </w:p>
    <w:p>
      <w:pPr>
        <w:pStyle w:val="19"/>
        <w:ind w:firstLine="420"/>
        <w:rPr>
          <w:rFonts w:ascii="等线" w:hAnsi="等线" w:eastAsia="等线"/>
        </w:rPr>
      </w:pPr>
      <w:r>
        <w:rPr>
          <w:rStyle w:val="47"/>
          <w:color w:val="auto"/>
        </w:rPr>
        <w:t>1.8 联络</w:t>
      </w:r>
      <w:r>
        <w:tab/>
      </w:r>
      <w:r>
        <w:t>58</w:t>
      </w:r>
    </w:p>
    <w:p>
      <w:pPr>
        <w:pStyle w:val="19"/>
        <w:ind w:firstLine="420"/>
        <w:rPr>
          <w:rFonts w:ascii="等线" w:hAnsi="等线" w:eastAsia="等线"/>
        </w:rPr>
      </w:pPr>
      <w:r>
        <w:rPr>
          <w:rStyle w:val="47"/>
          <w:color w:val="auto"/>
        </w:rPr>
        <w:t>1.9 交通运输</w:t>
      </w:r>
      <w:r>
        <w:tab/>
      </w:r>
      <w:r>
        <w:t>58</w:t>
      </w:r>
    </w:p>
    <w:p>
      <w:pPr>
        <w:pStyle w:val="19"/>
        <w:ind w:firstLine="420"/>
        <w:rPr>
          <w:rFonts w:ascii="等线" w:hAnsi="等线" w:eastAsia="等线"/>
        </w:rPr>
      </w:pPr>
      <w:r>
        <w:rPr>
          <w:rStyle w:val="47"/>
          <w:color w:val="auto"/>
        </w:rPr>
        <w:t>1.10知识产权</w:t>
      </w:r>
      <w:r>
        <w:tab/>
      </w:r>
      <w:r>
        <w:t>59</w:t>
      </w:r>
    </w:p>
    <w:p>
      <w:pPr>
        <w:pStyle w:val="19"/>
        <w:ind w:firstLine="420"/>
        <w:rPr>
          <w:rFonts w:ascii="等线" w:hAnsi="等线" w:eastAsia="等线"/>
        </w:rPr>
      </w:pPr>
      <w:r>
        <w:rPr>
          <w:rStyle w:val="47"/>
          <w:color w:val="auto"/>
        </w:rPr>
        <w:t>1.11工程量清单错误的修正</w:t>
      </w:r>
      <w:r>
        <w:tab/>
      </w:r>
      <w:r>
        <w:t>59</w:t>
      </w:r>
    </w:p>
    <w:p>
      <w:pPr>
        <w:pStyle w:val="29"/>
        <w:ind w:firstLine="420"/>
        <w:rPr>
          <w:rFonts w:ascii="等线" w:hAnsi="等线" w:eastAsia="等线"/>
        </w:rPr>
      </w:pPr>
      <w:r>
        <w:rPr>
          <w:rStyle w:val="47"/>
          <w:color w:val="auto"/>
        </w:rPr>
        <w:t>2. 发包人</w:t>
      </w:r>
      <w:r>
        <w:tab/>
      </w:r>
      <w:r>
        <w:t>59</w:t>
      </w:r>
    </w:p>
    <w:p>
      <w:pPr>
        <w:pStyle w:val="19"/>
        <w:ind w:firstLine="420"/>
        <w:rPr>
          <w:rFonts w:ascii="等线" w:hAnsi="等线" w:eastAsia="等线"/>
        </w:rPr>
      </w:pPr>
      <w:r>
        <w:rPr>
          <w:rStyle w:val="47"/>
          <w:color w:val="auto"/>
        </w:rPr>
        <w:t>2.1 发包人代表</w:t>
      </w:r>
      <w:r>
        <w:tab/>
      </w:r>
      <w:r>
        <w:t>59</w:t>
      </w:r>
    </w:p>
    <w:p>
      <w:pPr>
        <w:pStyle w:val="19"/>
        <w:ind w:firstLine="420"/>
        <w:rPr>
          <w:rFonts w:ascii="等线" w:hAnsi="等线" w:eastAsia="等线"/>
        </w:rPr>
      </w:pPr>
      <w:r>
        <w:rPr>
          <w:rStyle w:val="47"/>
          <w:color w:val="auto"/>
        </w:rPr>
        <w:t>2.2 施工现场、施工条件和基础资料的提供</w:t>
      </w:r>
      <w:r>
        <w:tab/>
      </w:r>
      <w:r>
        <w:t>59</w:t>
      </w:r>
    </w:p>
    <w:p>
      <w:pPr>
        <w:pStyle w:val="29"/>
        <w:ind w:firstLine="420"/>
        <w:rPr>
          <w:rFonts w:ascii="等线" w:hAnsi="等线" w:eastAsia="等线"/>
        </w:rPr>
      </w:pPr>
      <w:r>
        <w:rPr>
          <w:rStyle w:val="47"/>
          <w:color w:val="auto"/>
        </w:rPr>
        <w:t>3. 承包人</w:t>
      </w:r>
      <w:r>
        <w:tab/>
      </w:r>
      <w:r>
        <w:t>60</w:t>
      </w:r>
    </w:p>
    <w:p>
      <w:pPr>
        <w:pStyle w:val="19"/>
        <w:ind w:firstLine="420"/>
        <w:rPr>
          <w:rFonts w:ascii="等线" w:hAnsi="等线" w:eastAsia="等线"/>
        </w:rPr>
      </w:pPr>
      <w:r>
        <w:rPr>
          <w:rStyle w:val="47"/>
          <w:color w:val="auto"/>
        </w:rPr>
        <w:t>3.1 承包人的一般义务</w:t>
      </w:r>
      <w:r>
        <w:tab/>
      </w:r>
      <w:r>
        <w:t>60</w:t>
      </w:r>
    </w:p>
    <w:p>
      <w:pPr>
        <w:pStyle w:val="19"/>
        <w:ind w:firstLine="420"/>
        <w:rPr>
          <w:rFonts w:ascii="等线" w:hAnsi="等线" w:eastAsia="等线"/>
        </w:rPr>
      </w:pPr>
      <w:r>
        <w:rPr>
          <w:rStyle w:val="47"/>
          <w:color w:val="auto"/>
        </w:rPr>
        <w:t>3.2 项目经理</w:t>
      </w:r>
      <w:r>
        <w:tab/>
      </w:r>
      <w:r>
        <w:t>60</w:t>
      </w:r>
    </w:p>
    <w:p>
      <w:pPr>
        <w:pStyle w:val="19"/>
        <w:ind w:firstLine="420"/>
        <w:rPr>
          <w:rFonts w:ascii="等线" w:hAnsi="等线" w:eastAsia="等线"/>
        </w:rPr>
      </w:pPr>
      <w:r>
        <w:rPr>
          <w:rStyle w:val="47"/>
          <w:color w:val="auto"/>
        </w:rPr>
        <w:t>3.3 承包人人员</w:t>
      </w:r>
      <w:r>
        <w:tab/>
      </w:r>
      <w:r>
        <w:t>61</w:t>
      </w:r>
    </w:p>
    <w:p>
      <w:pPr>
        <w:pStyle w:val="19"/>
        <w:ind w:firstLine="420"/>
        <w:rPr>
          <w:rFonts w:ascii="等线" w:hAnsi="等线" w:eastAsia="等线"/>
        </w:rPr>
      </w:pPr>
      <w:r>
        <w:rPr>
          <w:rStyle w:val="47"/>
          <w:color w:val="auto"/>
        </w:rPr>
        <w:t>3.4 分包</w:t>
      </w:r>
      <w:r>
        <w:tab/>
      </w:r>
      <w:r>
        <w:t>61</w:t>
      </w:r>
    </w:p>
    <w:p>
      <w:pPr>
        <w:pStyle w:val="19"/>
        <w:ind w:firstLine="420"/>
        <w:rPr>
          <w:rFonts w:ascii="等线" w:hAnsi="等线" w:eastAsia="等线"/>
        </w:rPr>
      </w:pPr>
      <w:r>
        <w:rPr>
          <w:rStyle w:val="47"/>
          <w:color w:val="auto"/>
        </w:rPr>
        <w:t>3.5 工程照管与成品、半成品保护</w:t>
      </w:r>
      <w:r>
        <w:tab/>
      </w:r>
      <w:r>
        <w:t>61</w:t>
      </w:r>
    </w:p>
    <w:p>
      <w:pPr>
        <w:pStyle w:val="19"/>
        <w:ind w:firstLine="420"/>
        <w:rPr>
          <w:rFonts w:ascii="等线" w:hAnsi="等线" w:eastAsia="等线"/>
        </w:rPr>
      </w:pPr>
      <w:r>
        <w:rPr>
          <w:rStyle w:val="47"/>
          <w:color w:val="auto"/>
        </w:rPr>
        <w:t>3.6 履约担保</w:t>
      </w:r>
      <w:r>
        <w:tab/>
      </w:r>
      <w:r>
        <w:t>61</w:t>
      </w:r>
    </w:p>
    <w:p>
      <w:pPr>
        <w:pStyle w:val="29"/>
        <w:ind w:firstLine="420"/>
        <w:rPr>
          <w:rFonts w:ascii="等线" w:hAnsi="等线" w:eastAsia="等线"/>
        </w:rPr>
      </w:pPr>
      <w:r>
        <w:rPr>
          <w:rStyle w:val="47"/>
          <w:color w:val="auto"/>
        </w:rPr>
        <w:t>4. 监理人</w:t>
      </w:r>
      <w:r>
        <w:tab/>
      </w:r>
      <w:r>
        <w:t>62</w:t>
      </w:r>
    </w:p>
    <w:p>
      <w:pPr>
        <w:pStyle w:val="19"/>
        <w:ind w:firstLine="420"/>
        <w:rPr>
          <w:rFonts w:ascii="等线" w:hAnsi="等线" w:eastAsia="等线"/>
        </w:rPr>
      </w:pPr>
      <w:r>
        <w:rPr>
          <w:rStyle w:val="47"/>
          <w:color w:val="auto"/>
        </w:rPr>
        <w:t>4.1监理人的一般规定</w:t>
      </w:r>
      <w:r>
        <w:tab/>
      </w:r>
      <w:r>
        <w:t>62</w:t>
      </w:r>
    </w:p>
    <w:p>
      <w:pPr>
        <w:pStyle w:val="19"/>
        <w:ind w:firstLine="420"/>
        <w:rPr>
          <w:rFonts w:ascii="等线" w:hAnsi="等线" w:eastAsia="等线"/>
        </w:rPr>
      </w:pPr>
      <w:r>
        <w:rPr>
          <w:rStyle w:val="47"/>
          <w:color w:val="auto"/>
        </w:rPr>
        <w:t>4.2 监理人员</w:t>
      </w:r>
      <w:r>
        <w:tab/>
      </w:r>
      <w:r>
        <w:t>62</w:t>
      </w:r>
    </w:p>
    <w:p>
      <w:pPr>
        <w:pStyle w:val="29"/>
        <w:ind w:firstLine="420"/>
        <w:rPr>
          <w:rFonts w:ascii="等线" w:hAnsi="等线" w:eastAsia="等线"/>
        </w:rPr>
      </w:pPr>
      <w:r>
        <w:rPr>
          <w:rStyle w:val="47"/>
          <w:color w:val="auto"/>
        </w:rPr>
        <w:t>5. 工程质量</w:t>
      </w:r>
      <w:r>
        <w:tab/>
      </w:r>
      <w:r>
        <w:t>62</w:t>
      </w:r>
    </w:p>
    <w:p>
      <w:pPr>
        <w:pStyle w:val="19"/>
        <w:ind w:firstLine="420"/>
        <w:rPr>
          <w:rFonts w:ascii="等线" w:hAnsi="等线" w:eastAsia="等线"/>
        </w:rPr>
      </w:pPr>
      <w:r>
        <w:rPr>
          <w:rStyle w:val="47"/>
          <w:color w:val="auto"/>
        </w:rPr>
        <w:t>5.1 质量要求</w:t>
      </w:r>
      <w:r>
        <w:tab/>
      </w:r>
      <w:r>
        <w:t>62</w:t>
      </w:r>
    </w:p>
    <w:p>
      <w:pPr>
        <w:pStyle w:val="19"/>
        <w:ind w:firstLine="420"/>
        <w:rPr>
          <w:rFonts w:ascii="等线" w:hAnsi="等线" w:eastAsia="等线"/>
        </w:rPr>
      </w:pPr>
      <w:r>
        <w:rPr>
          <w:rStyle w:val="47"/>
          <w:color w:val="auto"/>
        </w:rPr>
        <w:t>5.2 隐蔽工程检查</w:t>
      </w:r>
      <w:r>
        <w:tab/>
      </w:r>
      <w:r>
        <w:t>62</w:t>
      </w:r>
    </w:p>
    <w:p>
      <w:pPr>
        <w:pStyle w:val="29"/>
        <w:ind w:firstLine="420"/>
        <w:rPr>
          <w:rFonts w:ascii="等线" w:hAnsi="等线" w:eastAsia="等线"/>
        </w:rPr>
      </w:pPr>
      <w:r>
        <w:rPr>
          <w:rStyle w:val="47"/>
          <w:color w:val="auto"/>
        </w:rPr>
        <w:t>6. 安全文明施工与环境保护</w:t>
      </w:r>
      <w:r>
        <w:tab/>
      </w:r>
      <w:r>
        <w:t>62</w:t>
      </w:r>
    </w:p>
    <w:p>
      <w:pPr>
        <w:pStyle w:val="19"/>
        <w:ind w:firstLine="420"/>
        <w:rPr>
          <w:rFonts w:ascii="等线" w:hAnsi="等线" w:eastAsia="等线"/>
        </w:rPr>
      </w:pPr>
      <w:r>
        <w:rPr>
          <w:rStyle w:val="47"/>
          <w:color w:val="auto"/>
        </w:rPr>
        <w:t>6.1安全文明施工</w:t>
      </w:r>
      <w:r>
        <w:tab/>
      </w:r>
      <w:r>
        <w:t>62</w:t>
      </w:r>
    </w:p>
    <w:p>
      <w:pPr>
        <w:pStyle w:val="29"/>
        <w:ind w:firstLine="420"/>
        <w:rPr>
          <w:rFonts w:ascii="等线" w:hAnsi="等线" w:eastAsia="等线"/>
        </w:rPr>
      </w:pPr>
      <w:r>
        <w:rPr>
          <w:rStyle w:val="47"/>
          <w:color w:val="auto"/>
        </w:rPr>
        <w:t>7. 工期和进度</w:t>
      </w:r>
      <w:r>
        <w:tab/>
      </w:r>
      <w:r>
        <w:t>63</w:t>
      </w:r>
    </w:p>
    <w:p>
      <w:pPr>
        <w:pStyle w:val="19"/>
        <w:ind w:firstLine="420"/>
        <w:rPr>
          <w:rFonts w:ascii="等线" w:hAnsi="等线" w:eastAsia="等线"/>
        </w:rPr>
      </w:pPr>
      <w:r>
        <w:rPr>
          <w:rStyle w:val="47"/>
          <w:color w:val="auto"/>
        </w:rPr>
        <w:t>7.1 施工组织设计</w:t>
      </w:r>
      <w:r>
        <w:tab/>
      </w:r>
      <w:r>
        <w:t>63</w:t>
      </w:r>
    </w:p>
    <w:p>
      <w:pPr>
        <w:pStyle w:val="19"/>
        <w:ind w:firstLine="420"/>
        <w:rPr>
          <w:rFonts w:ascii="等线" w:hAnsi="等线" w:eastAsia="等线"/>
        </w:rPr>
      </w:pPr>
      <w:r>
        <w:rPr>
          <w:rStyle w:val="47"/>
          <w:color w:val="auto"/>
        </w:rPr>
        <w:t>7.2 施工进度计划</w:t>
      </w:r>
      <w:r>
        <w:tab/>
      </w:r>
      <w:r>
        <w:t>63</w:t>
      </w:r>
    </w:p>
    <w:p>
      <w:pPr>
        <w:pStyle w:val="19"/>
        <w:ind w:firstLine="420"/>
        <w:rPr>
          <w:rFonts w:ascii="等线" w:hAnsi="等线" w:eastAsia="等线"/>
        </w:rPr>
      </w:pPr>
      <w:r>
        <w:rPr>
          <w:rStyle w:val="47"/>
          <w:color w:val="auto"/>
        </w:rPr>
        <w:t>7.3 开工</w:t>
      </w:r>
      <w:r>
        <w:tab/>
      </w:r>
      <w:r>
        <w:t>63</w:t>
      </w:r>
    </w:p>
    <w:p>
      <w:pPr>
        <w:pStyle w:val="19"/>
        <w:ind w:firstLine="420"/>
        <w:rPr>
          <w:rFonts w:ascii="等线" w:hAnsi="等线" w:eastAsia="等线"/>
        </w:rPr>
      </w:pPr>
      <w:r>
        <w:rPr>
          <w:rStyle w:val="47"/>
          <w:color w:val="auto"/>
        </w:rPr>
        <w:t>7.3.1 开工准备</w:t>
      </w:r>
      <w:r>
        <w:tab/>
      </w:r>
      <w:r>
        <w:t>63</w:t>
      </w:r>
    </w:p>
    <w:p>
      <w:pPr>
        <w:pStyle w:val="19"/>
        <w:ind w:firstLine="420"/>
        <w:rPr>
          <w:rFonts w:ascii="等线" w:hAnsi="等线" w:eastAsia="等线"/>
        </w:rPr>
      </w:pPr>
      <w:r>
        <w:rPr>
          <w:rStyle w:val="47"/>
          <w:color w:val="auto"/>
        </w:rPr>
        <w:t>7.3.2开工通知</w:t>
      </w:r>
      <w:r>
        <w:tab/>
      </w:r>
      <w:r>
        <w:t>63</w:t>
      </w:r>
    </w:p>
    <w:p>
      <w:pPr>
        <w:pStyle w:val="19"/>
        <w:ind w:firstLine="420"/>
        <w:rPr>
          <w:rFonts w:ascii="等线" w:hAnsi="等线" w:eastAsia="等线"/>
        </w:rPr>
      </w:pPr>
      <w:r>
        <w:rPr>
          <w:rStyle w:val="47"/>
          <w:color w:val="auto"/>
        </w:rPr>
        <w:t>7.4 测量放线</w:t>
      </w:r>
      <w:r>
        <w:tab/>
      </w:r>
      <w:r>
        <w:t>63</w:t>
      </w:r>
    </w:p>
    <w:p>
      <w:pPr>
        <w:pStyle w:val="19"/>
        <w:ind w:firstLine="420"/>
        <w:rPr>
          <w:rFonts w:ascii="等线" w:hAnsi="等线" w:eastAsia="等线"/>
        </w:rPr>
      </w:pPr>
      <w:r>
        <w:rPr>
          <w:rStyle w:val="47"/>
          <w:color w:val="auto"/>
        </w:rPr>
        <w:t>7.5 工期延误</w:t>
      </w:r>
      <w:r>
        <w:tab/>
      </w:r>
      <w:r>
        <w:t>64</w:t>
      </w:r>
    </w:p>
    <w:p>
      <w:pPr>
        <w:pStyle w:val="19"/>
        <w:ind w:firstLine="420"/>
        <w:rPr>
          <w:rFonts w:ascii="等线" w:hAnsi="等线" w:eastAsia="等线"/>
        </w:rPr>
      </w:pPr>
      <w:r>
        <w:rPr>
          <w:rStyle w:val="47"/>
          <w:color w:val="auto"/>
        </w:rPr>
        <w:t>7.6 不利物质条件</w:t>
      </w:r>
      <w:r>
        <w:tab/>
      </w:r>
      <w:r>
        <w:t>64</w:t>
      </w:r>
    </w:p>
    <w:p>
      <w:pPr>
        <w:pStyle w:val="19"/>
        <w:ind w:firstLine="420"/>
        <w:rPr>
          <w:rFonts w:ascii="等线" w:hAnsi="等线" w:eastAsia="等线"/>
        </w:rPr>
      </w:pPr>
      <w:r>
        <w:rPr>
          <w:rStyle w:val="47"/>
          <w:color w:val="auto"/>
        </w:rPr>
        <w:t>7.7异常恶劣的气候条件</w:t>
      </w:r>
      <w:r>
        <w:tab/>
      </w:r>
      <w:r>
        <w:t>64</w:t>
      </w:r>
    </w:p>
    <w:p>
      <w:pPr>
        <w:pStyle w:val="19"/>
        <w:ind w:firstLine="420"/>
        <w:rPr>
          <w:rFonts w:ascii="等线" w:hAnsi="等线" w:eastAsia="等线"/>
        </w:rPr>
      </w:pPr>
      <w:r>
        <w:rPr>
          <w:rStyle w:val="47"/>
          <w:color w:val="auto"/>
        </w:rPr>
        <w:t>7.8 提前竣工的奖励</w:t>
      </w:r>
      <w:r>
        <w:tab/>
      </w:r>
      <w:r>
        <w:t>64</w:t>
      </w:r>
    </w:p>
    <w:p>
      <w:pPr>
        <w:pStyle w:val="29"/>
        <w:ind w:firstLine="420"/>
        <w:rPr>
          <w:rFonts w:ascii="等线" w:hAnsi="等线" w:eastAsia="等线"/>
        </w:rPr>
      </w:pPr>
      <w:r>
        <w:rPr>
          <w:rStyle w:val="47"/>
          <w:color w:val="auto"/>
        </w:rPr>
        <w:t>8. 材料与设备</w:t>
      </w:r>
      <w:r>
        <w:tab/>
      </w:r>
      <w:r>
        <w:t>64</w:t>
      </w:r>
    </w:p>
    <w:p>
      <w:pPr>
        <w:pStyle w:val="19"/>
        <w:ind w:firstLine="420"/>
        <w:rPr>
          <w:rFonts w:ascii="等线" w:hAnsi="等线" w:eastAsia="等线"/>
        </w:rPr>
      </w:pPr>
      <w:r>
        <w:rPr>
          <w:rStyle w:val="47"/>
          <w:color w:val="auto"/>
        </w:rPr>
        <w:t>8.1材料与工程设备的保管与使用</w:t>
      </w:r>
      <w:r>
        <w:tab/>
      </w:r>
      <w:r>
        <w:t>64</w:t>
      </w:r>
    </w:p>
    <w:p>
      <w:pPr>
        <w:pStyle w:val="19"/>
        <w:ind w:firstLine="420"/>
        <w:rPr>
          <w:rFonts w:ascii="等线" w:hAnsi="等线" w:eastAsia="等线"/>
        </w:rPr>
      </w:pPr>
      <w:r>
        <w:rPr>
          <w:rStyle w:val="47"/>
          <w:color w:val="auto"/>
        </w:rPr>
        <w:t>8.2 样品</w:t>
      </w:r>
      <w:r>
        <w:tab/>
      </w:r>
      <w:r>
        <w:t>64</w:t>
      </w:r>
    </w:p>
    <w:p>
      <w:pPr>
        <w:pStyle w:val="19"/>
        <w:ind w:firstLine="420"/>
        <w:rPr>
          <w:rFonts w:ascii="等线" w:hAnsi="等线" w:eastAsia="等线"/>
        </w:rPr>
      </w:pPr>
      <w:r>
        <w:rPr>
          <w:rStyle w:val="47"/>
          <w:color w:val="auto"/>
        </w:rPr>
        <w:t>8.3 施工设备和临时设施</w:t>
      </w:r>
      <w:r>
        <w:tab/>
      </w:r>
      <w:r>
        <w:t>64</w:t>
      </w:r>
    </w:p>
    <w:p>
      <w:pPr>
        <w:pStyle w:val="29"/>
        <w:ind w:firstLine="420"/>
        <w:rPr>
          <w:rFonts w:ascii="等线" w:hAnsi="等线" w:eastAsia="等线"/>
        </w:rPr>
      </w:pPr>
      <w:r>
        <w:rPr>
          <w:rStyle w:val="47"/>
          <w:color w:val="auto"/>
        </w:rPr>
        <w:t>9. 试验与检验</w:t>
      </w:r>
      <w:r>
        <w:tab/>
      </w:r>
      <w:r>
        <w:t>65</w:t>
      </w:r>
    </w:p>
    <w:p>
      <w:pPr>
        <w:pStyle w:val="19"/>
        <w:ind w:firstLine="420"/>
        <w:rPr>
          <w:rFonts w:ascii="等线" w:hAnsi="等线" w:eastAsia="等线"/>
        </w:rPr>
      </w:pPr>
      <w:r>
        <w:rPr>
          <w:rStyle w:val="47"/>
          <w:color w:val="auto"/>
        </w:rPr>
        <w:t>9.1试验设备与试验人员</w:t>
      </w:r>
      <w:r>
        <w:tab/>
      </w:r>
      <w:r>
        <w:t>65</w:t>
      </w:r>
    </w:p>
    <w:p>
      <w:pPr>
        <w:pStyle w:val="19"/>
        <w:ind w:firstLine="420"/>
        <w:rPr>
          <w:rFonts w:ascii="等线" w:hAnsi="等线" w:eastAsia="等线"/>
        </w:rPr>
      </w:pPr>
      <w:r>
        <w:rPr>
          <w:rStyle w:val="47"/>
          <w:color w:val="auto"/>
        </w:rPr>
        <w:t>9.2 现场工艺试验</w:t>
      </w:r>
      <w:r>
        <w:tab/>
      </w:r>
      <w:r>
        <w:t>65</w:t>
      </w:r>
    </w:p>
    <w:p>
      <w:pPr>
        <w:pStyle w:val="29"/>
        <w:ind w:firstLine="420"/>
        <w:rPr>
          <w:rFonts w:ascii="等线" w:hAnsi="等线" w:eastAsia="等线"/>
        </w:rPr>
      </w:pPr>
      <w:r>
        <w:rPr>
          <w:rStyle w:val="47"/>
          <w:color w:val="auto"/>
        </w:rPr>
        <w:t>10. 变更</w:t>
      </w:r>
      <w:r>
        <w:tab/>
      </w:r>
      <w:r>
        <w:t>65</w:t>
      </w:r>
    </w:p>
    <w:p>
      <w:pPr>
        <w:pStyle w:val="19"/>
        <w:ind w:firstLine="420"/>
        <w:rPr>
          <w:rFonts w:ascii="等线" w:hAnsi="等线" w:eastAsia="等线"/>
        </w:rPr>
      </w:pPr>
      <w:r>
        <w:rPr>
          <w:rStyle w:val="47"/>
          <w:color w:val="auto"/>
        </w:rPr>
        <w:t>10.1变更的范围</w:t>
      </w:r>
      <w:r>
        <w:tab/>
      </w:r>
      <w:r>
        <w:t>65</w:t>
      </w:r>
    </w:p>
    <w:p>
      <w:pPr>
        <w:pStyle w:val="19"/>
        <w:ind w:firstLine="420"/>
        <w:rPr>
          <w:rFonts w:ascii="等线" w:hAnsi="等线" w:eastAsia="等线"/>
        </w:rPr>
      </w:pPr>
      <w:r>
        <w:rPr>
          <w:rStyle w:val="47"/>
          <w:color w:val="auto"/>
        </w:rPr>
        <w:t>10.2 变更估价</w:t>
      </w:r>
      <w:r>
        <w:tab/>
      </w:r>
      <w:r>
        <w:t>65</w:t>
      </w:r>
    </w:p>
    <w:p>
      <w:pPr>
        <w:pStyle w:val="19"/>
        <w:ind w:firstLine="420"/>
        <w:rPr>
          <w:rFonts w:ascii="等线" w:hAnsi="等线" w:eastAsia="等线"/>
        </w:rPr>
      </w:pPr>
      <w:r>
        <w:rPr>
          <w:rStyle w:val="47"/>
          <w:color w:val="auto"/>
        </w:rPr>
        <w:t>10.3承包人的合理化建议</w:t>
      </w:r>
      <w:r>
        <w:tab/>
      </w:r>
      <w:r>
        <w:t>65</w:t>
      </w:r>
    </w:p>
    <w:p>
      <w:pPr>
        <w:pStyle w:val="19"/>
        <w:ind w:firstLine="420"/>
        <w:rPr>
          <w:rFonts w:ascii="等线" w:hAnsi="等线" w:eastAsia="等线"/>
        </w:rPr>
      </w:pPr>
      <w:r>
        <w:rPr>
          <w:rStyle w:val="47"/>
          <w:color w:val="auto"/>
        </w:rPr>
        <w:t>10.4 暂估价</w:t>
      </w:r>
      <w:r>
        <w:tab/>
      </w:r>
      <w:r>
        <w:t>65</w:t>
      </w:r>
    </w:p>
    <w:p>
      <w:pPr>
        <w:pStyle w:val="19"/>
        <w:ind w:firstLine="420"/>
        <w:rPr>
          <w:rFonts w:ascii="等线" w:hAnsi="等线" w:eastAsia="等线"/>
        </w:rPr>
      </w:pPr>
      <w:r>
        <w:rPr>
          <w:rStyle w:val="47"/>
          <w:color w:val="auto"/>
        </w:rPr>
        <w:t>10.5 暂列金额</w:t>
      </w:r>
      <w:r>
        <w:tab/>
      </w:r>
      <w:r>
        <w:t>66</w:t>
      </w:r>
    </w:p>
    <w:p>
      <w:pPr>
        <w:pStyle w:val="29"/>
        <w:ind w:firstLine="420"/>
        <w:rPr>
          <w:rFonts w:ascii="等线" w:hAnsi="等线" w:eastAsia="等线"/>
        </w:rPr>
      </w:pPr>
      <w:r>
        <w:rPr>
          <w:rStyle w:val="47"/>
          <w:color w:val="auto"/>
        </w:rPr>
        <w:t>11. 价格调整</w:t>
      </w:r>
      <w:r>
        <w:tab/>
      </w:r>
      <w:r>
        <w:t>66</w:t>
      </w:r>
    </w:p>
    <w:p>
      <w:pPr>
        <w:pStyle w:val="19"/>
        <w:ind w:firstLine="420"/>
        <w:rPr>
          <w:rFonts w:ascii="等线" w:hAnsi="等线" w:eastAsia="等线"/>
        </w:rPr>
      </w:pPr>
      <w:r>
        <w:rPr>
          <w:rStyle w:val="47"/>
          <w:color w:val="auto"/>
        </w:rPr>
        <w:t>11.1 市场价格波动引起的调整</w:t>
      </w:r>
      <w:r>
        <w:tab/>
      </w:r>
      <w:r>
        <w:t>66</w:t>
      </w:r>
    </w:p>
    <w:p>
      <w:pPr>
        <w:pStyle w:val="29"/>
        <w:ind w:firstLine="420"/>
        <w:rPr>
          <w:rFonts w:ascii="等线" w:hAnsi="等线" w:eastAsia="等线"/>
        </w:rPr>
      </w:pPr>
      <w:r>
        <w:rPr>
          <w:rStyle w:val="47"/>
          <w:color w:val="auto"/>
        </w:rPr>
        <w:t>12. 合同价格、计量与支付</w:t>
      </w:r>
      <w:r>
        <w:tab/>
      </w:r>
      <w:r>
        <w:t>66</w:t>
      </w:r>
    </w:p>
    <w:p>
      <w:pPr>
        <w:pStyle w:val="19"/>
        <w:ind w:firstLine="420"/>
        <w:rPr>
          <w:rFonts w:ascii="等线" w:hAnsi="等线" w:eastAsia="等线"/>
        </w:rPr>
      </w:pPr>
      <w:r>
        <w:rPr>
          <w:rStyle w:val="47"/>
          <w:color w:val="auto"/>
        </w:rPr>
        <w:t>12.1 合同价格形式：单价合同。</w:t>
      </w:r>
      <w:r>
        <w:tab/>
      </w:r>
      <w:r>
        <w:t>66</w:t>
      </w:r>
    </w:p>
    <w:p>
      <w:pPr>
        <w:pStyle w:val="19"/>
        <w:ind w:firstLine="420"/>
        <w:rPr>
          <w:rFonts w:ascii="等线" w:hAnsi="等线" w:eastAsia="等线"/>
        </w:rPr>
      </w:pPr>
      <w:r>
        <w:rPr>
          <w:rStyle w:val="47"/>
          <w:color w:val="auto"/>
        </w:rPr>
        <w:t>12.2 预付款</w:t>
      </w:r>
      <w:r>
        <w:tab/>
      </w:r>
      <w:r>
        <w:t>67</w:t>
      </w:r>
    </w:p>
    <w:p>
      <w:pPr>
        <w:pStyle w:val="19"/>
        <w:ind w:firstLine="420"/>
        <w:rPr>
          <w:rFonts w:ascii="等线" w:hAnsi="等线" w:eastAsia="等线"/>
        </w:rPr>
      </w:pPr>
      <w:r>
        <w:rPr>
          <w:rStyle w:val="47"/>
          <w:color w:val="auto"/>
        </w:rPr>
        <w:t>12.3 计量</w:t>
      </w:r>
      <w:r>
        <w:tab/>
      </w:r>
      <w:r>
        <w:t>67</w:t>
      </w:r>
    </w:p>
    <w:p>
      <w:pPr>
        <w:pStyle w:val="19"/>
        <w:ind w:firstLine="420"/>
        <w:rPr>
          <w:rFonts w:ascii="等线" w:hAnsi="等线" w:eastAsia="等线"/>
        </w:rPr>
      </w:pPr>
      <w:r>
        <w:rPr>
          <w:rStyle w:val="47"/>
          <w:color w:val="auto"/>
        </w:rPr>
        <w:t>12.4 工程进度款支付</w:t>
      </w:r>
      <w:r>
        <w:tab/>
      </w:r>
      <w:r>
        <w:t>68</w:t>
      </w:r>
    </w:p>
    <w:p>
      <w:pPr>
        <w:pStyle w:val="29"/>
        <w:ind w:firstLine="420"/>
        <w:rPr>
          <w:rFonts w:ascii="等线" w:hAnsi="等线" w:eastAsia="等线"/>
        </w:rPr>
      </w:pPr>
      <w:r>
        <w:rPr>
          <w:rStyle w:val="47"/>
          <w:color w:val="auto"/>
        </w:rPr>
        <w:t>13. 验收和工程试车</w:t>
      </w:r>
      <w:r>
        <w:tab/>
      </w:r>
      <w:r>
        <w:t>68</w:t>
      </w:r>
    </w:p>
    <w:p>
      <w:pPr>
        <w:pStyle w:val="19"/>
        <w:ind w:firstLine="420"/>
        <w:rPr>
          <w:rFonts w:ascii="等线" w:hAnsi="等线" w:eastAsia="等线"/>
        </w:rPr>
      </w:pPr>
      <w:r>
        <w:rPr>
          <w:rStyle w:val="47"/>
          <w:color w:val="auto"/>
        </w:rPr>
        <w:t>13.1 分部分项工程验收</w:t>
      </w:r>
      <w:r>
        <w:tab/>
      </w:r>
      <w:r>
        <w:t>68</w:t>
      </w:r>
    </w:p>
    <w:p>
      <w:pPr>
        <w:pStyle w:val="19"/>
        <w:ind w:firstLine="420"/>
        <w:rPr>
          <w:rFonts w:ascii="等线" w:hAnsi="等线" w:eastAsia="等线"/>
        </w:rPr>
      </w:pPr>
      <w:r>
        <w:rPr>
          <w:rStyle w:val="47"/>
          <w:color w:val="auto"/>
        </w:rPr>
        <w:t>13.2 竣工验收</w:t>
      </w:r>
      <w:r>
        <w:tab/>
      </w:r>
      <w:r>
        <w:t>68</w:t>
      </w:r>
    </w:p>
    <w:p>
      <w:pPr>
        <w:pStyle w:val="19"/>
        <w:ind w:firstLine="420"/>
        <w:rPr>
          <w:rFonts w:ascii="等线" w:hAnsi="等线" w:eastAsia="等线"/>
        </w:rPr>
      </w:pPr>
      <w:r>
        <w:rPr>
          <w:rStyle w:val="47"/>
          <w:color w:val="auto"/>
        </w:rPr>
        <w:t>13.3 工程试车</w:t>
      </w:r>
      <w:r>
        <w:tab/>
      </w:r>
      <w:r>
        <w:t>68</w:t>
      </w:r>
    </w:p>
    <w:p>
      <w:pPr>
        <w:pStyle w:val="19"/>
        <w:ind w:firstLine="420"/>
        <w:rPr>
          <w:rFonts w:ascii="等线" w:hAnsi="等线" w:eastAsia="等线"/>
        </w:rPr>
      </w:pPr>
      <w:r>
        <w:rPr>
          <w:rStyle w:val="47"/>
          <w:color w:val="auto"/>
        </w:rPr>
        <w:t>13.4 竣工退场</w:t>
      </w:r>
      <w:r>
        <w:tab/>
      </w:r>
      <w:r>
        <w:t>69</w:t>
      </w:r>
    </w:p>
    <w:p>
      <w:pPr>
        <w:pStyle w:val="29"/>
        <w:ind w:firstLine="420"/>
        <w:rPr>
          <w:rFonts w:ascii="等线" w:hAnsi="等线" w:eastAsia="等线"/>
        </w:rPr>
      </w:pPr>
      <w:r>
        <w:rPr>
          <w:rStyle w:val="47"/>
          <w:color w:val="auto"/>
        </w:rPr>
        <w:t>14. 竣工结算</w:t>
      </w:r>
      <w:r>
        <w:tab/>
      </w:r>
      <w:r>
        <w:t>69</w:t>
      </w:r>
    </w:p>
    <w:p>
      <w:pPr>
        <w:pStyle w:val="19"/>
        <w:ind w:firstLine="420"/>
        <w:rPr>
          <w:rFonts w:ascii="等线" w:hAnsi="等线" w:eastAsia="等线"/>
        </w:rPr>
      </w:pPr>
      <w:r>
        <w:rPr>
          <w:rStyle w:val="47"/>
          <w:color w:val="auto"/>
        </w:rPr>
        <w:t>14.1 竣工结算申请</w:t>
      </w:r>
      <w:r>
        <w:tab/>
      </w:r>
      <w:r>
        <w:t>69</w:t>
      </w:r>
    </w:p>
    <w:p>
      <w:pPr>
        <w:pStyle w:val="19"/>
        <w:ind w:firstLine="420"/>
        <w:rPr>
          <w:rFonts w:ascii="等线" w:hAnsi="等线" w:eastAsia="等线"/>
        </w:rPr>
      </w:pPr>
      <w:r>
        <w:rPr>
          <w:rStyle w:val="47"/>
          <w:color w:val="auto"/>
        </w:rPr>
        <w:t>14.2 竣工结算审核</w:t>
      </w:r>
      <w:r>
        <w:tab/>
      </w:r>
      <w:r>
        <w:t>69</w:t>
      </w:r>
    </w:p>
    <w:p>
      <w:pPr>
        <w:pStyle w:val="19"/>
        <w:ind w:firstLine="420"/>
        <w:rPr>
          <w:rFonts w:ascii="等线" w:hAnsi="等线" w:eastAsia="等线"/>
        </w:rPr>
      </w:pPr>
      <w:r>
        <w:rPr>
          <w:rStyle w:val="47"/>
          <w:color w:val="auto"/>
        </w:rPr>
        <w:t>14.3 最终结清</w:t>
      </w:r>
      <w:r>
        <w:tab/>
      </w:r>
      <w:r>
        <w:t>69</w:t>
      </w:r>
    </w:p>
    <w:p>
      <w:pPr>
        <w:pStyle w:val="29"/>
        <w:ind w:firstLine="420"/>
        <w:rPr>
          <w:rFonts w:ascii="等线" w:hAnsi="等线" w:eastAsia="等线"/>
        </w:rPr>
      </w:pPr>
      <w:r>
        <w:rPr>
          <w:rStyle w:val="47"/>
          <w:color w:val="auto"/>
        </w:rPr>
        <w:t>15. 缺陷责任期与保修</w:t>
      </w:r>
      <w:r>
        <w:tab/>
      </w:r>
      <w:r>
        <w:t>69</w:t>
      </w:r>
    </w:p>
    <w:p>
      <w:pPr>
        <w:pStyle w:val="19"/>
        <w:ind w:firstLine="420"/>
        <w:rPr>
          <w:rFonts w:ascii="等线" w:hAnsi="等线" w:eastAsia="等线"/>
        </w:rPr>
      </w:pPr>
      <w:r>
        <w:rPr>
          <w:rStyle w:val="47"/>
          <w:color w:val="auto"/>
        </w:rPr>
        <w:t>15.1缺陷责任期</w:t>
      </w:r>
      <w:r>
        <w:tab/>
      </w:r>
      <w:r>
        <w:t>69</w:t>
      </w:r>
    </w:p>
    <w:p>
      <w:pPr>
        <w:pStyle w:val="19"/>
        <w:ind w:firstLine="420"/>
        <w:rPr>
          <w:rFonts w:ascii="等线" w:hAnsi="等线" w:eastAsia="等线"/>
        </w:rPr>
      </w:pPr>
      <w:r>
        <w:rPr>
          <w:rStyle w:val="47"/>
          <w:color w:val="auto"/>
        </w:rPr>
        <w:t>15.2 质量保证金</w:t>
      </w:r>
      <w:r>
        <w:tab/>
      </w:r>
      <w:r>
        <w:t>69</w:t>
      </w:r>
    </w:p>
    <w:p>
      <w:pPr>
        <w:pStyle w:val="29"/>
        <w:ind w:firstLine="420"/>
        <w:rPr>
          <w:rFonts w:ascii="等线" w:hAnsi="等线" w:eastAsia="等线"/>
        </w:rPr>
      </w:pPr>
      <w:r>
        <w:rPr>
          <w:rStyle w:val="47"/>
          <w:color w:val="auto"/>
        </w:rPr>
        <w:t>16. 违约</w:t>
      </w:r>
      <w:r>
        <w:tab/>
      </w:r>
      <w:r>
        <w:t>70</w:t>
      </w:r>
    </w:p>
    <w:p>
      <w:pPr>
        <w:pStyle w:val="19"/>
        <w:ind w:firstLine="420"/>
        <w:rPr>
          <w:rFonts w:ascii="等线" w:hAnsi="等线" w:eastAsia="等线"/>
        </w:rPr>
      </w:pPr>
      <w:r>
        <w:rPr>
          <w:rStyle w:val="47"/>
          <w:color w:val="auto"/>
        </w:rPr>
        <w:t>16.1 发包人违约</w:t>
      </w:r>
      <w:r>
        <w:tab/>
      </w:r>
      <w:r>
        <w:t>70</w:t>
      </w:r>
    </w:p>
    <w:p>
      <w:pPr>
        <w:pStyle w:val="19"/>
        <w:ind w:firstLine="420"/>
        <w:rPr>
          <w:rFonts w:ascii="等线" w:hAnsi="等线" w:eastAsia="等线"/>
        </w:rPr>
      </w:pPr>
      <w:r>
        <w:rPr>
          <w:rStyle w:val="47"/>
          <w:color w:val="auto"/>
        </w:rPr>
        <w:t>16.2 承包人违约</w:t>
      </w:r>
      <w:r>
        <w:tab/>
      </w:r>
      <w:r>
        <w:t>70</w:t>
      </w:r>
    </w:p>
    <w:p>
      <w:pPr>
        <w:pStyle w:val="29"/>
        <w:ind w:firstLine="420"/>
        <w:rPr>
          <w:rFonts w:ascii="等线" w:hAnsi="等线" w:eastAsia="等线"/>
        </w:rPr>
      </w:pPr>
      <w:r>
        <w:rPr>
          <w:rStyle w:val="47"/>
          <w:color w:val="auto"/>
        </w:rPr>
        <w:t>17. 不可抗力</w:t>
      </w:r>
      <w:r>
        <w:tab/>
      </w:r>
      <w:r>
        <w:t>71</w:t>
      </w:r>
    </w:p>
    <w:p>
      <w:pPr>
        <w:pStyle w:val="19"/>
        <w:ind w:firstLine="420"/>
        <w:rPr>
          <w:rFonts w:ascii="等线" w:hAnsi="等线" w:eastAsia="等线"/>
        </w:rPr>
      </w:pPr>
      <w:r>
        <w:rPr>
          <w:rStyle w:val="47"/>
          <w:color w:val="auto"/>
        </w:rPr>
        <w:t>17.1 不可抗力的确认</w:t>
      </w:r>
      <w:r>
        <w:tab/>
      </w:r>
      <w:r>
        <w:t>71</w:t>
      </w:r>
    </w:p>
    <w:p>
      <w:pPr>
        <w:pStyle w:val="19"/>
        <w:ind w:firstLine="420"/>
        <w:rPr>
          <w:rFonts w:ascii="等线" w:hAnsi="等线" w:eastAsia="等线"/>
        </w:rPr>
      </w:pPr>
      <w:r>
        <w:rPr>
          <w:rStyle w:val="47"/>
          <w:color w:val="auto"/>
        </w:rPr>
        <w:t>17.2 因不可抗力解除合同</w:t>
      </w:r>
      <w:r>
        <w:tab/>
      </w:r>
      <w:r>
        <w:t>71</w:t>
      </w:r>
    </w:p>
    <w:p>
      <w:pPr>
        <w:pStyle w:val="29"/>
        <w:ind w:firstLine="420"/>
        <w:rPr>
          <w:rFonts w:ascii="等线" w:hAnsi="等线" w:eastAsia="等线"/>
        </w:rPr>
      </w:pPr>
      <w:r>
        <w:rPr>
          <w:rStyle w:val="47"/>
          <w:color w:val="auto"/>
        </w:rPr>
        <w:t>18. 保险</w:t>
      </w:r>
      <w:r>
        <w:tab/>
      </w:r>
      <w:r>
        <w:t>71</w:t>
      </w:r>
    </w:p>
    <w:p>
      <w:pPr>
        <w:pStyle w:val="19"/>
        <w:ind w:firstLine="420"/>
        <w:rPr>
          <w:rFonts w:ascii="等线" w:hAnsi="等线" w:eastAsia="等线"/>
        </w:rPr>
      </w:pPr>
      <w:r>
        <w:rPr>
          <w:rStyle w:val="47"/>
          <w:color w:val="auto"/>
        </w:rPr>
        <w:t>18.1 工程保险</w:t>
      </w:r>
      <w:r>
        <w:tab/>
      </w:r>
      <w:r>
        <w:t>71</w:t>
      </w:r>
    </w:p>
    <w:p>
      <w:pPr>
        <w:pStyle w:val="19"/>
        <w:ind w:firstLine="420"/>
        <w:rPr>
          <w:rFonts w:ascii="等线" w:hAnsi="等线" w:eastAsia="等线"/>
        </w:rPr>
      </w:pPr>
      <w:r>
        <w:rPr>
          <w:rStyle w:val="47"/>
          <w:color w:val="auto"/>
        </w:rPr>
        <w:t>18.2 其他保险</w:t>
      </w:r>
      <w:r>
        <w:tab/>
      </w:r>
      <w:r>
        <w:t>71</w:t>
      </w:r>
    </w:p>
    <w:p>
      <w:pPr>
        <w:pStyle w:val="29"/>
        <w:ind w:firstLine="420"/>
        <w:rPr>
          <w:rFonts w:ascii="等线" w:hAnsi="等线" w:eastAsia="等线"/>
        </w:rPr>
      </w:pPr>
      <w:r>
        <w:rPr>
          <w:rStyle w:val="47"/>
          <w:color w:val="auto"/>
        </w:rPr>
        <w:t>19. 争议解决</w:t>
      </w:r>
      <w:r>
        <w:tab/>
      </w:r>
      <w:r>
        <w:t>71</w:t>
      </w:r>
    </w:p>
    <w:p>
      <w:pPr>
        <w:pStyle w:val="19"/>
        <w:ind w:firstLine="420"/>
        <w:rPr>
          <w:rFonts w:ascii="等线" w:hAnsi="等线" w:eastAsia="等线"/>
        </w:rPr>
      </w:pPr>
      <w:r>
        <w:rPr>
          <w:rStyle w:val="47"/>
          <w:color w:val="auto"/>
        </w:rPr>
        <w:t>19.1仲裁或诉讼</w:t>
      </w:r>
      <w:r>
        <w:tab/>
      </w:r>
      <w:r>
        <w:t>71</w:t>
      </w:r>
    </w:p>
    <w:p>
      <w:pPr>
        <w:pStyle w:val="29"/>
        <w:ind w:firstLine="420"/>
        <w:rPr>
          <w:rFonts w:ascii="等线" w:hAnsi="等线" w:eastAsia="等线"/>
        </w:rPr>
      </w:pPr>
      <w:r>
        <w:rPr>
          <w:rStyle w:val="47"/>
          <w:color w:val="auto"/>
        </w:rPr>
        <w:t>附件</w:t>
      </w:r>
      <w:r>
        <w:tab/>
      </w:r>
      <w:r>
        <w:t>72</w:t>
      </w:r>
    </w:p>
    <w:p>
      <w:pPr>
        <w:pStyle w:val="29"/>
        <w:ind w:firstLine="420"/>
        <w:rPr>
          <w:rFonts w:ascii="等线" w:hAnsi="等线" w:eastAsia="等线"/>
        </w:rPr>
      </w:pPr>
      <w:r>
        <w:rPr>
          <w:rStyle w:val="47"/>
          <w:color w:val="auto"/>
        </w:rPr>
        <w:t>协议书附件：</w:t>
      </w:r>
      <w:r>
        <w:tab/>
      </w:r>
      <w:r>
        <w:t>72</w:t>
      </w:r>
    </w:p>
    <w:p>
      <w:pPr>
        <w:pStyle w:val="19"/>
        <w:ind w:firstLine="420"/>
        <w:rPr>
          <w:rFonts w:ascii="等线" w:hAnsi="等线" w:eastAsia="等线"/>
        </w:rPr>
      </w:pPr>
      <w:r>
        <w:rPr>
          <w:rStyle w:val="47"/>
          <w:color w:val="auto"/>
        </w:rPr>
        <w:t>附件1：承包人承揽工程项目一览表</w:t>
      </w:r>
      <w:r>
        <w:tab/>
      </w:r>
      <w:r>
        <w:t>72</w:t>
      </w:r>
    </w:p>
    <w:p>
      <w:pPr>
        <w:pStyle w:val="29"/>
        <w:ind w:firstLine="420"/>
        <w:rPr>
          <w:rFonts w:ascii="等线" w:hAnsi="等线" w:eastAsia="等线"/>
        </w:rPr>
      </w:pPr>
      <w:r>
        <w:rPr>
          <w:rStyle w:val="47"/>
          <w:color w:val="auto"/>
        </w:rPr>
        <w:t>专用合同条款附件：</w:t>
      </w:r>
      <w:r>
        <w:tab/>
      </w:r>
      <w:r>
        <w:t>72</w:t>
      </w:r>
    </w:p>
    <w:p>
      <w:pPr>
        <w:pStyle w:val="19"/>
        <w:ind w:firstLine="420"/>
        <w:rPr>
          <w:rFonts w:ascii="等线" w:hAnsi="等线" w:eastAsia="等线"/>
        </w:rPr>
      </w:pPr>
      <w:r>
        <w:rPr>
          <w:rStyle w:val="47"/>
          <w:color w:val="auto"/>
        </w:rPr>
        <w:t>附件2：发包人供应材料设备一览表</w:t>
      </w:r>
      <w:r>
        <w:tab/>
      </w:r>
      <w:r>
        <w:t>72</w:t>
      </w:r>
    </w:p>
    <w:p>
      <w:pPr>
        <w:pStyle w:val="19"/>
        <w:ind w:firstLine="420"/>
        <w:rPr>
          <w:rFonts w:ascii="等线" w:hAnsi="等线" w:eastAsia="等线"/>
        </w:rPr>
      </w:pPr>
      <w:r>
        <w:rPr>
          <w:rStyle w:val="47"/>
          <w:color w:val="auto"/>
        </w:rPr>
        <w:t>附件3：房屋建筑工程质量保修书</w:t>
      </w:r>
      <w:r>
        <w:tab/>
      </w:r>
      <w:r>
        <w:t>72</w:t>
      </w:r>
    </w:p>
    <w:p>
      <w:pPr>
        <w:pStyle w:val="19"/>
        <w:ind w:firstLine="420"/>
        <w:rPr>
          <w:rFonts w:ascii="等线" w:hAnsi="等线" w:eastAsia="等线"/>
        </w:rPr>
      </w:pPr>
      <w:bookmarkStart w:id="17" w:name="_Hlk14097362"/>
      <w:r>
        <w:rPr>
          <w:rStyle w:val="47"/>
          <w:color w:val="auto"/>
        </w:rPr>
        <w:t>附件4：主要建设工程文件目录</w:t>
      </w:r>
      <w:r>
        <w:tab/>
      </w:r>
      <w:r>
        <w:t>72</w:t>
      </w:r>
    </w:p>
    <w:bookmarkEnd w:id="17"/>
    <w:p>
      <w:pPr>
        <w:pStyle w:val="19"/>
        <w:ind w:firstLine="420"/>
        <w:rPr>
          <w:rFonts w:ascii="等线" w:hAnsi="等线" w:eastAsia="等线"/>
        </w:rPr>
      </w:pPr>
      <w:r>
        <w:rPr>
          <w:rStyle w:val="47"/>
          <w:color w:val="auto"/>
        </w:rPr>
        <w:t>附件5：承包人用于本工程施工的机械设备表</w:t>
      </w:r>
      <w:r>
        <w:tab/>
      </w:r>
      <w:r>
        <w:t>72</w:t>
      </w:r>
    </w:p>
    <w:p>
      <w:pPr>
        <w:pStyle w:val="19"/>
        <w:ind w:firstLine="420"/>
        <w:rPr>
          <w:rFonts w:ascii="等线" w:hAnsi="等线" w:eastAsia="等线"/>
        </w:rPr>
      </w:pPr>
      <w:r>
        <w:rPr>
          <w:rStyle w:val="47"/>
          <w:color w:val="auto"/>
        </w:rPr>
        <w:t>附件6：承包人主要施工管理人员表</w:t>
      </w:r>
      <w:r>
        <w:tab/>
      </w:r>
      <w:r>
        <w:t>72</w:t>
      </w:r>
    </w:p>
    <w:p>
      <w:pPr>
        <w:pStyle w:val="19"/>
        <w:ind w:firstLine="420"/>
        <w:rPr>
          <w:rFonts w:ascii="等线" w:hAnsi="等线" w:eastAsia="等线"/>
        </w:rPr>
      </w:pPr>
      <w:r>
        <w:rPr>
          <w:rStyle w:val="47"/>
          <w:color w:val="auto"/>
        </w:rPr>
        <w:t>附件7：分包人主要施工管理人员表</w:t>
      </w:r>
      <w:r>
        <w:tab/>
      </w:r>
      <w:r>
        <w:t>72</w:t>
      </w:r>
    </w:p>
    <w:p>
      <w:pPr>
        <w:pStyle w:val="19"/>
        <w:ind w:firstLine="420"/>
        <w:rPr>
          <w:rFonts w:ascii="等线" w:hAnsi="等线" w:eastAsia="等线"/>
        </w:rPr>
      </w:pPr>
      <w:r>
        <w:rPr>
          <w:rStyle w:val="47"/>
          <w:color w:val="auto"/>
        </w:rPr>
        <w:t>附件8：暂估价一览表</w:t>
      </w:r>
      <w:r>
        <w:tab/>
      </w:r>
      <w:r>
        <w:t>72</w:t>
      </w:r>
    </w:p>
    <w:p>
      <w:pPr>
        <w:pStyle w:val="19"/>
        <w:ind w:firstLine="420"/>
        <w:rPr>
          <w:rFonts w:ascii="等线" w:hAnsi="等线" w:eastAsia="等线"/>
        </w:rPr>
      </w:pPr>
      <w:bookmarkStart w:id="18" w:name="_Hlk14097606"/>
      <w:r>
        <w:rPr>
          <w:rStyle w:val="47"/>
          <w:color w:val="auto"/>
        </w:rPr>
        <w:t>附件9：结算审计准备资料表</w:t>
      </w:r>
      <w:r>
        <w:tab/>
      </w:r>
      <w:r>
        <w:t>72</w:t>
      </w:r>
    </w:p>
    <w:p>
      <w:pPr>
        <w:pStyle w:val="19"/>
        <w:ind w:firstLine="420"/>
        <w:rPr>
          <w:rFonts w:ascii="等线" w:hAnsi="等线" w:eastAsia="等线"/>
        </w:rPr>
      </w:pPr>
      <w:r>
        <w:rPr>
          <w:rStyle w:val="47"/>
          <w:color w:val="auto"/>
        </w:rPr>
        <w:t>附件10：建设工程施工安全责任书</w:t>
      </w:r>
      <w:r>
        <w:tab/>
      </w:r>
      <w:r>
        <w:t>72</w:t>
      </w:r>
    </w:p>
    <w:p>
      <w:pPr>
        <w:pStyle w:val="19"/>
        <w:ind w:firstLine="420"/>
        <w:rPr>
          <w:rFonts w:ascii="等线" w:hAnsi="等线" w:eastAsia="等线"/>
        </w:rPr>
      </w:pPr>
      <w:r>
        <w:rPr>
          <w:rStyle w:val="47"/>
          <w:color w:val="auto"/>
        </w:rPr>
        <w:t>附件11：工程建设项目廉政责任书</w:t>
      </w:r>
      <w:r>
        <w:tab/>
      </w:r>
      <w:r>
        <w:t>72</w:t>
      </w:r>
    </w:p>
    <w:bookmarkEnd w:id="18"/>
    <w:p>
      <w:pPr>
        <w:pStyle w:val="5"/>
        <w:ind w:firstLine="482"/>
        <w:rPr>
          <w:rFonts w:ascii="Times New Roman" w:hAnsi="Times New Roman" w:eastAsia="仿宋_GB2312"/>
          <w:sz w:val="28"/>
          <w:szCs w:val="28"/>
        </w:rPr>
        <w:sectPr>
          <w:footerReference r:id="rId10" w:type="first"/>
          <w:footerReference r:id="rId9" w:type="default"/>
          <w:pgSz w:w="11906" w:h="16838"/>
          <w:pgMar w:top="1418" w:right="1555" w:bottom="1418" w:left="1531" w:header="851" w:footer="992" w:gutter="0"/>
          <w:pgNumType w:start="1"/>
          <w:cols w:space="720" w:num="1"/>
          <w:titlePg/>
          <w:docGrid w:type="lines" w:linePitch="312" w:charSpace="0"/>
        </w:sectPr>
      </w:pPr>
      <w:r>
        <w:fldChar w:fldCharType="end"/>
      </w:r>
    </w:p>
    <w:p>
      <w:pPr>
        <w:pStyle w:val="5"/>
        <w:ind w:firstLine="482"/>
      </w:pPr>
      <w:bookmarkStart w:id="19" w:name="_Toc18683119"/>
      <w:bookmarkStart w:id="20" w:name="_Hlk13833870"/>
      <w:r>
        <w:t>第一部分 合同协议书</w:t>
      </w:r>
      <w:bookmarkEnd w:id="15"/>
      <w:bookmarkEnd w:id="16"/>
      <w:bookmarkEnd w:id="19"/>
    </w:p>
    <w:bookmarkEnd w:id="20"/>
    <w:p>
      <w:pPr>
        <w:spacing w:line="360" w:lineRule="exact"/>
        <w:ind w:firstLine="480"/>
        <w:rPr>
          <w:rFonts w:ascii="宋体" w:hAnsi="宋体"/>
          <w:sz w:val="24"/>
          <w:u w:val="single"/>
        </w:rPr>
      </w:pPr>
      <w:r>
        <w:rPr>
          <w:rFonts w:ascii="宋体" w:hAnsi="宋体"/>
          <w:sz w:val="24"/>
        </w:rPr>
        <w:t>发包人（全称）：</w:t>
      </w:r>
      <w:r>
        <w:rPr>
          <w:rFonts w:ascii="宋体" w:hAnsi="宋体"/>
          <w:sz w:val="24"/>
          <w:u w:val="single"/>
        </w:rPr>
        <w:t></w:t>
      </w:r>
      <w:r>
        <w:rPr>
          <w:rFonts w:hint="eastAsia" w:ascii="宋体" w:hAnsi="宋体"/>
          <w:sz w:val="24"/>
          <w:u w:val="single"/>
        </w:rPr>
        <w:t>北京清华长庚医院</w:t>
      </w:r>
      <w:r>
        <w:rPr>
          <w:rFonts w:ascii="宋体" w:hAnsi="宋体"/>
          <w:sz w:val="24"/>
          <w:u w:val="single"/>
        </w:rPr>
        <w:t></w:t>
      </w:r>
    </w:p>
    <w:p>
      <w:pPr>
        <w:spacing w:line="360" w:lineRule="exact"/>
        <w:ind w:firstLine="480"/>
        <w:rPr>
          <w:rFonts w:ascii="宋体" w:hAnsi="宋体"/>
          <w:sz w:val="24"/>
          <w:u w:val="single"/>
        </w:rPr>
      </w:pPr>
      <w:r>
        <w:rPr>
          <w:rFonts w:ascii="宋体" w:hAnsi="宋体"/>
          <w:sz w:val="24"/>
        </w:rPr>
        <w:t>承包人（全称）：</w:t>
      </w:r>
      <w:r>
        <w:rPr>
          <w:rFonts w:ascii="宋体" w:hAnsi="宋体"/>
          <w:sz w:val="24"/>
          <w:u w:val="single"/>
        </w:rPr>
        <w:t>     </w:t>
      </w:r>
    </w:p>
    <w:p>
      <w:pPr>
        <w:spacing w:line="360" w:lineRule="exact"/>
        <w:ind w:firstLine="480"/>
        <w:rPr>
          <w:rFonts w:ascii="宋体" w:hAnsi="宋体"/>
          <w:sz w:val="24"/>
        </w:rPr>
      </w:pPr>
      <w:r>
        <w:rPr>
          <w:rFonts w:ascii="宋体" w:hAnsi="宋体"/>
          <w:sz w:val="24"/>
        </w:rPr>
        <w:t>根据《中华人民共和国合同法》、《中华人民共和国建筑法》及有关法律规定，遵循平等、自愿、公平和诚实信用的原则，双方就工程施工及有关事项协商一致</w:t>
      </w:r>
      <w:r>
        <w:rPr>
          <w:rFonts w:hint="eastAsia" w:ascii="宋体" w:hAnsi="宋体"/>
          <w:sz w:val="24"/>
        </w:rPr>
        <w:t>，</w:t>
      </w:r>
      <w:r>
        <w:rPr>
          <w:rFonts w:ascii="宋体" w:hAnsi="宋体"/>
          <w:sz w:val="24"/>
        </w:rPr>
        <w:t>共同达成如下协议：</w:t>
      </w:r>
    </w:p>
    <w:p>
      <w:pPr>
        <w:pStyle w:val="6"/>
        <w:ind w:left="103" w:leftChars="0" w:firstLineChars="0"/>
      </w:pPr>
      <w:bookmarkStart w:id="21" w:name="_Toc18683120"/>
      <w:r>
        <w:t>一、工程概况</w:t>
      </w:r>
      <w:bookmarkEnd w:id="21"/>
    </w:p>
    <w:p>
      <w:pPr>
        <w:spacing w:line="360" w:lineRule="exact"/>
        <w:ind w:firstLine="470" w:firstLineChars="196"/>
        <w:rPr>
          <w:rFonts w:ascii="宋体" w:hAnsi="宋体"/>
          <w:sz w:val="24"/>
          <w:u w:val="single"/>
        </w:rPr>
      </w:pPr>
      <w:r>
        <w:rPr>
          <w:rFonts w:ascii="宋体" w:hAnsi="宋体"/>
          <w:sz w:val="24"/>
        </w:rPr>
        <w:t>1.工程名称：</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2.工程地点：</w:t>
      </w:r>
      <w:r>
        <w:rPr>
          <w:rFonts w:ascii="宋体" w:hAnsi="宋体"/>
          <w:sz w:val="24"/>
          <w:u w:val="single"/>
        </w:rPr>
        <w:t></w:t>
      </w:r>
      <w:r>
        <w:rPr>
          <w:rFonts w:hint="eastAsia" w:ascii="宋体" w:hAnsi="宋体"/>
          <w:sz w:val="24"/>
          <w:u w:val="single"/>
        </w:rPr>
        <w:t>北京清华长庚医院院内</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3.工程立项批准文号</w:t>
      </w:r>
      <w:r>
        <w:rPr>
          <w:rFonts w:hint="eastAsia" w:ascii="宋体" w:hAnsi="宋体"/>
          <w:sz w:val="24"/>
        </w:rPr>
        <w:t>（工委单流水号）</w:t>
      </w:r>
      <w:r>
        <w:rPr>
          <w:rFonts w:ascii="宋体" w:hAnsi="宋体"/>
          <w:sz w:val="24"/>
        </w:rPr>
        <w:t>：</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ascii="宋体" w:hAnsi="宋体"/>
          <w:sz w:val="24"/>
        </w:rPr>
        <w:t>4.资金来源：</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hint="eastAsia" w:ascii="宋体" w:hAnsi="宋体"/>
          <w:sz w:val="24"/>
        </w:rPr>
        <w:t>5.工程内容：</w:t>
      </w:r>
      <w:r>
        <w:rPr>
          <w:rFonts w:ascii="宋体" w:hAnsi="宋体"/>
          <w:sz w:val="24"/>
          <w:u w:val="single"/>
        </w:rPr>
        <w:t xml:space="preserve"> </w:t>
      </w:r>
      <w:r>
        <w:rPr>
          <w:rFonts w:ascii="宋体" w:hAnsi="宋体"/>
          <w:sz w:val="24"/>
        </w:rPr>
        <w:t>。</w:t>
      </w:r>
    </w:p>
    <w:p>
      <w:pPr>
        <w:spacing w:line="360" w:lineRule="exact"/>
        <w:ind w:firstLine="470" w:firstLineChars="196"/>
        <w:rPr>
          <w:rFonts w:ascii="宋体" w:hAnsi="宋体"/>
          <w:sz w:val="24"/>
        </w:rPr>
      </w:pPr>
      <w:r>
        <w:rPr>
          <w:rFonts w:hint="eastAsia" w:ascii="宋体" w:hAnsi="宋体"/>
          <w:sz w:val="24"/>
        </w:rPr>
        <w:t>多项工程应附《</w:t>
      </w:r>
      <w:r>
        <w:rPr>
          <w:rFonts w:ascii="宋体" w:hAnsi="宋体"/>
          <w:sz w:val="24"/>
        </w:rPr>
        <w:t>承包人承揽工程项目一览表</w:t>
      </w:r>
      <w:r>
        <w:rPr>
          <w:rFonts w:hint="eastAsia" w:ascii="宋体" w:hAnsi="宋体"/>
          <w:sz w:val="24"/>
        </w:rPr>
        <w:t>》（附件1）。</w:t>
      </w:r>
    </w:p>
    <w:p>
      <w:pPr>
        <w:spacing w:line="360" w:lineRule="exact"/>
        <w:ind w:firstLine="470" w:firstLineChars="196"/>
        <w:rPr>
          <w:rFonts w:ascii="宋体" w:hAnsi="宋体"/>
          <w:sz w:val="24"/>
        </w:rPr>
      </w:pPr>
      <w:r>
        <w:rPr>
          <w:rFonts w:hint="eastAsia" w:ascii="宋体" w:hAnsi="宋体"/>
          <w:sz w:val="24"/>
        </w:rPr>
        <w:t>6</w:t>
      </w:r>
      <w:r>
        <w:rPr>
          <w:rFonts w:ascii="宋体" w:hAnsi="宋体"/>
          <w:sz w:val="24"/>
        </w:rPr>
        <w:t>.工程承包范围：</w:t>
      </w:r>
      <w:r>
        <w:rPr>
          <w:rFonts w:hint="eastAsia" w:ascii="宋体" w:hAnsi="宋体"/>
          <w:sz w:val="24"/>
        </w:rPr>
        <w:t>包括但不限于招标图纸所示范围</w:t>
      </w:r>
    </w:p>
    <w:p>
      <w:pPr>
        <w:spacing w:line="360" w:lineRule="exact"/>
        <w:ind w:firstLine="463" w:firstLineChars="193"/>
        <w:rPr>
          <w:rFonts w:ascii="宋体" w:hAnsi="宋体"/>
          <w:sz w:val="24"/>
        </w:rPr>
      </w:pPr>
      <w:r>
        <w:rPr>
          <w:rFonts w:ascii="宋体" w:hAnsi="宋体"/>
          <w:sz w:val="24"/>
          <w:u w:val="single"/>
        </w:rPr>
        <w:t></w:t>
      </w:r>
    </w:p>
    <w:p>
      <w:pPr>
        <w:spacing w:line="360" w:lineRule="exact"/>
        <w:ind w:firstLine="480"/>
        <w:rPr>
          <w:rFonts w:ascii="宋体" w:hAnsi="宋体"/>
          <w:sz w:val="24"/>
        </w:rPr>
      </w:pPr>
      <w:r>
        <w:rPr>
          <w:rFonts w:ascii="宋体" w:hAnsi="宋体"/>
          <w:sz w:val="24"/>
          <w:u w:val="single"/>
        </w:rPr>
        <w:t></w:t>
      </w:r>
      <w:r>
        <w:rPr>
          <w:rFonts w:ascii="宋体" w:hAnsi="宋体"/>
          <w:sz w:val="24"/>
        </w:rPr>
        <w:t>。</w:t>
      </w:r>
    </w:p>
    <w:p>
      <w:pPr>
        <w:pStyle w:val="6"/>
        <w:ind w:left="103" w:leftChars="0" w:firstLineChars="0"/>
      </w:pPr>
      <w:bookmarkStart w:id="22" w:name="_Toc18683121"/>
      <w:r>
        <w:t>二、合同工期</w:t>
      </w:r>
      <w:bookmarkEnd w:id="22"/>
    </w:p>
    <w:p>
      <w:pPr>
        <w:spacing w:line="360" w:lineRule="exact"/>
        <w:ind w:firstLine="480"/>
        <w:rPr>
          <w:rFonts w:ascii="宋体" w:hAnsi="宋体"/>
          <w:sz w:val="24"/>
        </w:rPr>
      </w:pPr>
      <w:r>
        <w:rPr>
          <w:rFonts w:ascii="宋体" w:hAnsi="宋体"/>
          <w:sz w:val="24"/>
        </w:rPr>
        <w:t>计划开工日期：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pPr>
        <w:spacing w:line="360" w:lineRule="exact"/>
        <w:ind w:firstLine="480"/>
        <w:rPr>
          <w:rFonts w:ascii="宋体" w:hAnsi="宋体"/>
          <w:sz w:val="24"/>
        </w:rPr>
      </w:pPr>
      <w:r>
        <w:rPr>
          <w:rFonts w:ascii="宋体" w:hAnsi="宋体"/>
          <w:sz w:val="24"/>
        </w:rPr>
        <w:t>计划竣工日期：</w:t>
      </w:r>
      <w:r>
        <w:rPr>
          <w:rFonts w:ascii="宋体" w:hAnsi="宋体"/>
          <w:sz w:val="24"/>
          <w:u w:val="single"/>
        </w:rPr>
        <w:t></w:t>
      </w:r>
      <w:r>
        <w:rPr>
          <w:rFonts w:ascii="宋体" w:hAnsi="宋体"/>
          <w:sz w:val="24"/>
        </w:rPr>
        <w:t>年</w:t>
      </w:r>
      <w:r>
        <w:rPr>
          <w:rFonts w:ascii="宋体" w:hAnsi="宋体"/>
          <w:sz w:val="24"/>
          <w:u w:val="single"/>
        </w:rPr>
        <w:t></w:t>
      </w:r>
      <w:r>
        <w:rPr>
          <w:rFonts w:ascii="宋体" w:hAnsi="宋体"/>
          <w:sz w:val="24"/>
        </w:rPr>
        <w:t>月</w:t>
      </w:r>
      <w:r>
        <w:rPr>
          <w:rFonts w:ascii="宋体" w:hAnsi="宋体"/>
          <w:sz w:val="24"/>
          <w:u w:val="single"/>
        </w:rPr>
        <w:t></w:t>
      </w:r>
      <w:r>
        <w:rPr>
          <w:rFonts w:ascii="宋体" w:hAnsi="宋体"/>
          <w:sz w:val="24"/>
        </w:rPr>
        <w:t>日。</w:t>
      </w:r>
    </w:p>
    <w:p>
      <w:pPr>
        <w:spacing w:line="360" w:lineRule="exact"/>
        <w:ind w:firstLine="480"/>
        <w:rPr>
          <w:rFonts w:ascii="宋体" w:hAnsi="宋体"/>
          <w:sz w:val="24"/>
        </w:rPr>
      </w:pPr>
      <w:r>
        <w:rPr>
          <w:rFonts w:ascii="宋体" w:hAnsi="宋体"/>
          <w:sz w:val="24"/>
        </w:rPr>
        <w:t>工期总日历天数：</w:t>
      </w:r>
      <w:r>
        <w:rPr>
          <w:rFonts w:ascii="宋体" w:hAnsi="宋体"/>
          <w:sz w:val="24"/>
          <w:u w:val="single"/>
        </w:rPr>
        <w:t></w:t>
      </w:r>
      <w:r>
        <w:rPr>
          <w:rFonts w:ascii="宋体" w:hAnsi="宋体"/>
          <w:sz w:val="24"/>
        </w:rPr>
        <w:t>天。工期总日历天数与根据前述计划开竣工日期计算的工期天数不一致的，以工期总日历天数为准。</w:t>
      </w:r>
    </w:p>
    <w:p>
      <w:pPr>
        <w:pStyle w:val="6"/>
        <w:ind w:left="103" w:leftChars="0" w:firstLineChars="0"/>
      </w:pPr>
      <w:bookmarkStart w:id="23" w:name="_Toc18683122"/>
      <w:r>
        <w:t>三、质量标准</w:t>
      </w:r>
      <w:bookmarkEnd w:id="23"/>
    </w:p>
    <w:p>
      <w:pPr>
        <w:spacing w:line="360" w:lineRule="exact"/>
        <w:ind w:firstLine="480"/>
        <w:rPr>
          <w:rFonts w:ascii="宋体" w:hAnsi="宋体"/>
          <w:sz w:val="24"/>
        </w:rPr>
      </w:pPr>
      <w:r>
        <w:rPr>
          <w:rFonts w:ascii="宋体" w:hAnsi="宋体"/>
          <w:sz w:val="24"/>
        </w:rPr>
        <w:t>工程质量符合</w:t>
      </w:r>
      <w:r>
        <w:rPr>
          <w:rFonts w:ascii="宋体" w:hAnsi="宋体"/>
          <w:sz w:val="24"/>
          <w:u w:val="single"/>
        </w:rPr>
        <w:t></w:t>
      </w:r>
      <w:r>
        <w:rPr>
          <w:rFonts w:hint="eastAsia" w:ascii="宋体" w:hAnsi="宋体"/>
          <w:sz w:val="24"/>
          <w:u w:val="single"/>
        </w:rPr>
        <w:t>合格</w:t>
      </w:r>
      <w:r>
        <w:rPr>
          <w:rFonts w:ascii="宋体" w:hAnsi="宋体"/>
          <w:sz w:val="24"/>
          <w:u w:val="single"/>
        </w:rPr>
        <w:t></w:t>
      </w:r>
      <w:r>
        <w:rPr>
          <w:rFonts w:ascii="宋体" w:hAnsi="宋体"/>
          <w:sz w:val="24"/>
        </w:rPr>
        <w:t>标准</w:t>
      </w:r>
      <w:r>
        <w:rPr>
          <w:rFonts w:hint="eastAsia" w:ascii="宋体" w:hAnsi="宋体"/>
          <w:sz w:val="24"/>
        </w:rPr>
        <w:t>，并符合招标文件的规定以及国家、北京市强制性和非强制性规定及相关的行业标准，且还应符合企业标准、通常使用标准和双方约定、承包方承诺、发包方的要求，标准不一致者以高标准为准。同时符合政府环保等部门的相关验收标准，符合本合同的约定。</w:t>
      </w:r>
    </w:p>
    <w:p>
      <w:pPr>
        <w:pStyle w:val="6"/>
        <w:ind w:left="103" w:leftChars="0" w:firstLineChars="0"/>
      </w:pPr>
      <w:bookmarkStart w:id="24" w:name="_Toc18683123"/>
      <w:r>
        <w:t>四、签约合同价与合同价格形式</w:t>
      </w:r>
      <w:bookmarkEnd w:id="24"/>
      <w:r>
        <w:tab/>
      </w:r>
    </w:p>
    <w:p>
      <w:pPr>
        <w:spacing w:line="360" w:lineRule="exact"/>
        <w:ind w:firstLine="480"/>
        <w:rPr>
          <w:rFonts w:ascii="宋体" w:hAnsi="宋体"/>
          <w:sz w:val="24"/>
        </w:rPr>
      </w:pPr>
      <w:r>
        <w:rPr>
          <w:rFonts w:ascii="宋体" w:hAnsi="宋体"/>
          <w:sz w:val="24"/>
        </w:rPr>
        <w:t>1.签约合同价为：</w:t>
      </w:r>
    </w:p>
    <w:p>
      <w:pPr>
        <w:spacing w:line="360" w:lineRule="exact"/>
        <w:ind w:firstLine="600" w:firstLineChars="250"/>
        <w:rPr>
          <w:rFonts w:ascii="宋体" w:hAnsi="宋体"/>
          <w:sz w:val="24"/>
        </w:rPr>
      </w:pPr>
      <w:r>
        <w:rPr>
          <w:rFonts w:ascii="宋体" w:hAnsi="宋体"/>
          <w:sz w:val="24"/>
        </w:rPr>
        <w:t>人民币（大写）(¥元)；</w:t>
      </w:r>
    </w:p>
    <w:p>
      <w:pPr>
        <w:spacing w:line="360" w:lineRule="exact"/>
        <w:ind w:firstLine="480"/>
        <w:rPr>
          <w:rFonts w:ascii="宋体" w:hAnsi="宋体"/>
          <w:sz w:val="24"/>
        </w:rPr>
      </w:pPr>
      <w:r>
        <w:rPr>
          <w:rFonts w:ascii="宋体" w:hAnsi="宋体"/>
          <w:sz w:val="24"/>
        </w:rPr>
        <w:t>其中：</w:t>
      </w:r>
    </w:p>
    <w:p>
      <w:pPr>
        <w:spacing w:line="360" w:lineRule="exact"/>
        <w:ind w:firstLine="480"/>
        <w:rPr>
          <w:rFonts w:ascii="宋体" w:hAnsi="宋体"/>
          <w:sz w:val="24"/>
        </w:rPr>
      </w:pPr>
      <w:r>
        <w:rPr>
          <w:rFonts w:ascii="宋体" w:hAnsi="宋体"/>
          <w:sz w:val="24"/>
        </w:rPr>
        <w:t>（1）安全文明施工费：</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（2）材料和工程设备暂估价金额：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（3）专业工程暂估价金额：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（4）暂列金额：</w:t>
      </w:r>
    </w:p>
    <w:p>
      <w:pPr>
        <w:spacing w:line="360" w:lineRule="exact"/>
        <w:ind w:firstLine="1080" w:firstLineChars="450"/>
        <w:rPr>
          <w:rFonts w:ascii="宋体" w:hAnsi="宋体"/>
          <w:sz w:val="24"/>
        </w:rPr>
      </w:pPr>
      <w:r>
        <w:rPr>
          <w:rFonts w:ascii="宋体" w:hAnsi="宋体"/>
          <w:sz w:val="24"/>
        </w:rPr>
        <w:t>人民币（大写） (¥元)。</w:t>
      </w:r>
    </w:p>
    <w:p>
      <w:pPr>
        <w:spacing w:line="360" w:lineRule="exact"/>
        <w:ind w:firstLine="480"/>
        <w:rPr>
          <w:rFonts w:ascii="宋体" w:hAnsi="宋体"/>
          <w:sz w:val="24"/>
        </w:rPr>
      </w:pPr>
      <w:r>
        <w:rPr>
          <w:rFonts w:ascii="宋体" w:hAnsi="宋体"/>
          <w:sz w:val="24"/>
        </w:rPr>
        <w:t>2.合同价格形式：</w:t>
      </w:r>
      <w:r>
        <w:rPr>
          <w:rFonts w:ascii="宋体" w:hAnsi="宋体"/>
          <w:sz w:val="24"/>
          <w:u w:val="single"/>
        </w:rPr>
        <w:t></w:t>
      </w:r>
      <w:r>
        <w:rPr>
          <w:rFonts w:hint="eastAsia" w:ascii="宋体" w:hAnsi="宋体"/>
          <w:sz w:val="24"/>
          <w:u w:val="single"/>
        </w:rPr>
        <w:t>单价合同</w:t>
      </w:r>
      <w:r>
        <w:rPr>
          <w:rFonts w:ascii="宋体" w:hAnsi="宋体"/>
          <w:sz w:val="24"/>
          <w:u w:val="single"/>
        </w:rPr>
        <w:t xml:space="preserve">  </w:t>
      </w:r>
      <w:r>
        <w:rPr>
          <w:rFonts w:ascii="宋体" w:hAnsi="宋体"/>
          <w:sz w:val="24"/>
        </w:rPr>
        <w:t>。</w:t>
      </w:r>
    </w:p>
    <w:p>
      <w:pPr>
        <w:pStyle w:val="6"/>
        <w:ind w:left="103" w:leftChars="0" w:firstLineChars="0"/>
      </w:pPr>
      <w:bookmarkStart w:id="25" w:name="_Toc18683124"/>
      <w:r>
        <w:t>五、项目经理</w:t>
      </w:r>
      <w:bookmarkEnd w:id="25"/>
    </w:p>
    <w:p>
      <w:pPr>
        <w:spacing w:line="360" w:lineRule="exact"/>
        <w:ind w:firstLine="480"/>
        <w:rPr>
          <w:rFonts w:ascii="宋体" w:hAnsi="宋体"/>
          <w:sz w:val="24"/>
        </w:rPr>
      </w:pPr>
      <w:r>
        <w:rPr>
          <w:rFonts w:ascii="宋体" w:hAnsi="宋体"/>
          <w:sz w:val="24"/>
        </w:rPr>
        <w:t>承包人项目经理：</w:t>
      </w:r>
      <w:r>
        <w:rPr>
          <w:rFonts w:ascii="宋体" w:hAnsi="宋体"/>
          <w:sz w:val="24"/>
          <w:u w:val="single"/>
        </w:rPr>
        <w:t>         </w:t>
      </w:r>
      <w:r>
        <w:rPr>
          <w:rFonts w:ascii="宋体" w:hAnsi="宋体"/>
          <w:sz w:val="24"/>
        </w:rPr>
        <w:t>。</w:t>
      </w:r>
    </w:p>
    <w:p>
      <w:pPr>
        <w:pStyle w:val="6"/>
        <w:ind w:left="103" w:leftChars="0" w:firstLineChars="0"/>
      </w:pPr>
      <w:bookmarkStart w:id="26" w:name="_Toc18683125"/>
      <w:r>
        <w:t>六、合同文件构成</w:t>
      </w:r>
      <w:bookmarkEnd w:id="26"/>
    </w:p>
    <w:p>
      <w:pPr>
        <w:spacing w:line="360" w:lineRule="exact"/>
        <w:ind w:firstLine="480"/>
        <w:rPr>
          <w:rFonts w:ascii="宋体" w:hAnsi="宋体"/>
          <w:sz w:val="24"/>
        </w:rPr>
      </w:pPr>
      <w:r>
        <w:rPr>
          <w:rFonts w:ascii="宋体" w:hAnsi="宋体"/>
          <w:sz w:val="24"/>
        </w:rPr>
        <w:t>本协议书与下列文件一起构成合同文件：</w:t>
      </w:r>
    </w:p>
    <w:p>
      <w:pPr>
        <w:autoSpaceDE w:val="0"/>
        <w:autoSpaceDN w:val="0"/>
        <w:adjustRightInd w:val="0"/>
        <w:spacing w:line="360" w:lineRule="exact"/>
        <w:ind w:firstLine="480"/>
        <w:jc w:val="left"/>
        <w:rPr>
          <w:rFonts w:ascii="宋体" w:hAnsi="宋体"/>
          <w:sz w:val="24"/>
        </w:rPr>
      </w:pPr>
      <w:r>
        <w:rPr>
          <w:rFonts w:hint="eastAsia" w:ascii="宋体" w:hAnsi="宋体"/>
          <w:sz w:val="24"/>
        </w:rPr>
        <w:t>（1）招标文件</w:t>
      </w:r>
    </w:p>
    <w:p>
      <w:pPr>
        <w:autoSpaceDE w:val="0"/>
        <w:autoSpaceDN w:val="0"/>
        <w:adjustRightInd w:val="0"/>
        <w:spacing w:line="360" w:lineRule="exact"/>
        <w:ind w:firstLine="480"/>
        <w:jc w:val="left"/>
        <w:rPr>
          <w:rFonts w:ascii="宋体" w:hAnsi="宋体"/>
          <w:sz w:val="24"/>
        </w:rPr>
      </w:pPr>
      <w:r>
        <w:rPr>
          <w:rFonts w:hint="eastAsia" w:ascii="宋体" w:hAnsi="宋体"/>
          <w:sz w:val="24"/>
        </w:rPr>
        <w:t>（2）中标通知书（如果有）；</w:t>
      </w:r>
    </w:p>
    <w:p>
      <w:pPr>
        <w:autoSpaceDE w:val="0"/>
        <w:autoSpaceDN w:val="0"/>
        <w:adjustRightInd w:val="0"/>
        <w:spacing w:line="360" w:lineRule="exact"/>
        <w:ind w:firstLine="480"/>
        <w:jc w:val="left"/>
        <w:rPr>
          <w:rFonts w:ascii="宋体" w:hAnsi="宋体"/>
          <w:sz w:val="24"/>
        </w:rPr>
      </w:pPr>
      <w:r>
        <w:rPr>
          <w:rFonts w:hint="eastAsia" w:ascii="宋体" w:hAnsi="宋体"/>
          <w:sz w:val="24"/>
        </w:rPr>
        <w:t xml:space="preserve">（3）投标函及其附录（如果有）； </w:t>
      </w:r>
    </w:p>
    <w:p>
      <w:pPr>
        <w:autoSpaceDE w:val="0"/>
        <w:autoSpaceDN w:val="0"/>
        <w:adjustRightInd w:val="0"/>
        <w:spacing w:line="360" w:lineRule="exact"/>
        <w:ind w:firstLine="480"/>
        <w:jc w:val="left"/>
        <w:rPr>
          <w:rFonts w:ascii="宋体" w:hAnsi="宋体"/>
          <w:sz w:val="24"/>
        </w:rPr>
      </w:pPr>
      <w:r>
        <w:rPr>
          <w:rFonts w:hint="eastAsia" w:ascii="宋体" w:hAnsi="宋体"/>
          <w:sz w:val="24"/>
        </w:rPr>
        <w:t>（4）专用合同条款及其附件；</w:t>
      </w:r>
    </w:p>
    <w:p>
      <w:pPr>
        <w:autoSpaceDE w:val="0"/>
        <w:autoSpaceDN w:val="0"/>
        <w:adjustRightInd w:val="0"/>
        <w:spacing w:line="360" w:lineRule="exact"/>
        <w:ind w:firstLine="480"/>
        <w:jc w:val="left"/>
        <w:rPr>
          <w:rFonts w:ascii="宋体" w:hAnsi="宋体"/>
          <w:sz w:val="24"/>
        </w:rPr>
      </w:pPr>
      <w:r>
        <w:rPr>
          <w:rFonts w:hint="eastAsia" w:ascii="宋体" w:hAnsi="宋体"/>
          <w:sz w:val="24"/>
        </w:rPr>
        <w:t>（5）工程承揽须知；</w:t>
      </w:r>
    </w:p>
    <w:p>
      <w:pPr>
        <w:autoSpaceDE w:val="0"/>
        <w:autoSpaceDN w:val="0"/>
        <w:adjustRightInd w:val="0"/>
        <w:spacing w:line="360" w:lineRule="exact"/>
        <w:ind w:firstLine="480"/>
        <w:jc w:val="left"/>
        <w:rPr>
          <w:rFonts w:ascii="宋体" w:hAnsi="宋体"/>
          <w:sz w:val="24"/>
        </w:rPr>
      </w:pPr>
      <w:r>
        <w:rPr>
          <w:rFonts w:hint="eastAsia" w:ascii="宋体" w:hAnsi="宋体"/>
          <w:sz w:val="24"/>
        </w:rPr>
        <w:t>（6）通用合同条款；</w:t>
      </w:r>
    </w:p>
    <w:p>
      <w:pPr>
        <w:autoSpaceDE w:val="0"/>
        <w:autoSpaceDN w:val="0"/>
        <w:adjustRightInd w:val="0"/>
        <w:spacing w:line="360" w:lineRule="exact"/>
        <w:ind w:firstLine="480"/>
        <w:jc w:val="left"/>
        <w:rPr>
          <w:rFonts w:ascii="宋体" w:hAnsi="宋体"/>
          <w:sz w:val="24"/>
        </w:rPr>
      </w:pPr>
      <w:r>
        <w:rPr>
          <w:rFonts w:hint="eastAsia" w:ascii="宋体" w:hAnsi="宋体"/>
          <w:sz w:val="24"/>
        </w:rPr>
        <w:t>（7）技术标准和要求；</w:t>
      </w:r>
    </w:p>
    <w:p>
      <w:pPr>
        <w:autoSpaceDE w:val="0"/>
        <w:autoSpaceDN w:val="0"/>
        <w:adjustRightInd w:val="0"/>
        <w:spacing w:line="360" w:lineRule="exact"/>
        <w:ind w:firstLine="480"/>
        <w:jc w:val="left"/>
        <w:rPr>
          <w:rFonts w:ascii="宋体" w:hAnsi="宋体"/>
          <w:sz w:val="24"/>
        </w:rPr>
      </w:pPr>
      <w:r>
        <w:rPr>
          <w:rFonts w:hint="eastAsia" w:ascii="宋体" w:hAnsi="宋体"/>
          <w:sz w:val="24"/>
        </w:rPr>
        <w:t>（8）图纸；</w:t>
      </w:r>
    </w:p>
    <w:p>
      <w:pPr>
        <w:autoSpaceDE w:val="0"/>
        <w:autoSpaceDN w:val="0"/>
        <w:adjustRightInd w:val="0"/>
        <w:spacing w:line="360" w:lineRule="exact"/>
        <w:ind w:firstLine="480"/>
        <w:jc w:val="left"/>
        <w:rPr>
          <w:rFonts w:ascii="宋体" w:hAnsi="宋体"/>
          <w:sz w:val="24"/>
        </w:rPr>
      </w:pPr>
      <w:r>
        <w:rPr>
          <w:rFonts w:hint="eastAsia" w:ascii="宋体" w:hAnsi="宋体"/>
          <w:sz w:val="24"/>
        </w:rPr>
        <w:t>（9）已标价工程量清单或预算书；</w:t>
      </w:r>
    </w:p>
    <w:p>
      <w:pPr>
        <w:autoSpaceDE w:val="0"/>
        <w:autoSpaceDN w:val="0"/>
        <w:adjustRightInd w:val="0"/>
        <w:spacing w:line="360" w:lineRule="exact"/>
        <w:ind w:firstLine="480"/>
        <w:jc w:val="left"/>
        <w:rPr>
          <w:rFonts w:ascii="宋体" w:hAnsi="宋体"/>
          <w:sz w:val="24"/>
        </w:rPr>
      </w:pPr>
      <w:r>
        <w:rPr>
          <w:rFonts w:hint="eastAsia" w:ascii="宋体" w:hAnsi="宋体"/>
          <w:sz w:val="24"/>
        </w:rPr>
        <w:t>（10）其他合同文件。</w:t>
      </w:r>
    </w:p>
    <w:p>
      <w:pPr>
        <w:autoSpaceDE w:val="0"/>
        <w:autoSpaceDN w:val="0"/>
        <w:adjustRightInd w:val="0"/>
        <w:spacing w:line="360" w:lineRule="exact"/>
        <w:ind w:firstLine="480"/>
        <w:jc w:val="left"/>
        <w:rPr>
          <w:rFonts w:ascii="宋体" w:hAnsi="宋体"/>
          <w:sz w:val="24"/>
        </w:rPr>
      </w:pPr>
      <w:r>
        <w:rPr>
          <w:rFonts w:ascii="宋体" w:hAnsi="宋体"/>
          <w:sz w:val="24"/>
        </w:rPr>
        <w:t>在合同订立及履行过程中形成的与合同有关的文件均构成合同文件组成部分。</w:t>
      </w:r>
    </w:p>
    <w:p>
      <w:pPr>
        <w:autoSpaceDE w:val="0"/>
        <w:autoSpaceDN w:val="0"/>
        <w:adjustRightInd w:val="0"/>
        <w:spacing w:line="360" w:lineRule="exact"/>
        <w:ind w:firstLine="480"/>
        <w:jc w:val="left"/>
        <w:rPr>
          <w:rFonts w:ascii="宋体" w:hAnsi="宋体"/>
          <w:sz w:val="24"/>
        </w:rPr>
      </w:pPr>
      <w:r>
        <w:rPr>
          <w:rFonts w:ascii="宋体" w:hAnsi="宋体"/>
          <w:sz w:val="24"/>
        </w:rPr>
        <w:t>上述各项合同文件包括合同当事人就该项合同文件所作出的补充和修改，属于同一类内容的文件，应以最新签署的为准。</w:t>
      </w:r>
      <w:r>
        <w:rPr>
          <w:rFonts w:hint="eastAsia" w:ascii="宋体" w:hAnsi="宋体"/>
          <w:sz w:val="24"/>
        </w:rPr>
        <w:t>专用合同条款及其附件须经合同当事人签字或盖章。</w:t>
      </w:r>
    </w:p>
    <w:p>
      <w:pPr>
        <w:pStyle w:val="6"/>
        <w:ind w:left="103" w:leftChars="0" w:firstLineChars="0"/>
      </w:pPr>
      <w:bookmarkStart w:id="27" w:name="_Toc18683126"/>
      <w:r>
        <w:t>七、承诺</w:t>
      </w:r>
      <w:bookmarkEnd w:id="27"/>
    </w:p>
    <w:p>
      <w:pPr>
        <w:spacing w:line="360" w:lineRule="exact"/>
        <w:ind w:firstLine="480"/>
        <w:rPr>
          <w:rFonts w:ascii="宋体" w:hAnsi="宋体"/>
          <w:sz w:val="24"/>
        </w:rPr>
      </w:pPr>
      <w:r>
        <w:rPr>
          <w:rFonts w:ascii="宋体" w:hAnsi="宋体"/>
          <w:sz w:val="24"/>
        </w:rPr>
        <w:t>1.发包人承诺按照法律规定履行项目审批手续、筹集工程建设资金并按照合同约定的期限和方式支付合同价款。</w:t>
      </w:r>
    </w:p>
    <w:p>
      <w:pPr>
        <w:spacing w:line="360" w:lineRule="exact"/>
        <w:ind w:firstLine="480"/>
        <w:rPr>
          <w:rFonts w:ascii="宋体" w:hAnsi="宋体"/>
          <w:sz w:val="24"/>
        </w:rPr>
      </w:pPr>
      <w:r>
        <w:rPr>
          <w:rFonts w:ascii="宋体" w:hAnsi="宋体"/>
          <w:sz w:val="24"/>
        </w:rPr>
        <w:t>2.承包人承诺按照法律规定及合同约定组织完成工程施工，确保工程质量和安全，不进行转包及违法分包，并在缺陷责任期及保修期内承担相应的工程维修责任。</w:t>
      </w:r>
    </w:p>
    <w:p>
      <w:pPr>
        <w:spacing w:line="360" w:lineRule="exact"/>
        <w:ind w:firstLine="480"/>
        <w:rPr>
          <w:rFonts w:ascii="宋体" w:hAnsi="宋体"/>
          <w:sz w:val="24"/>
        </w:rPr>
      </w:pPr>
      <w:r>
        <w:rPr>
          <w:rFonts w:ascii="宋体" w:hAnsi="宋体"/>
          <w:sz w:val="24"/>
        </w:rPr>
        <w:t>3.发包人和承包人通过招投标形式签订合同的，双方理解并</w:t>
      </w:r>
      <w:r>
        <w:rPr>
          <w:rFonts w:hint="eastAsia" w:ascii="宋体" w:hAnsi="宋体"/>
          <w:sz w:val="24"/>
        </w:rPr>
        <w:t>承诺</w:t>
      </w:r>
      <w:r>
        <w:rPr>
          <w:rFonts w:ascii="宋体" w:hAnsi="宋体"/>
          <w:sz w:val="24"/>
        </w:rPr>
        <w:t>不再就同一工程另行签订与合同实质性内容相背离的协议。</w:t>
      </w:r>
    </w:p>
    <w:p>
      <w:pPr>
        <w:spacing w:line="360" w:lineRule="exact"/>
        <w:ind w:firstLine="48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承包人承诺施工期间违反质量、安全、不文明施工等行为，甲方有权依据《工程承揽须知》（见附件）罚扣事项进行罚扣，罚扣金额在工程竣工结算审计时相应扣除或发生时直接缴纳。</w:t>
      </w:r>
    </w:p>
    <w:p>
      <w:pPr>
        <w:spacing w:line="360" w:lineRule="exact"/>
        <w:ind w:firstLine="480"/>
        <w:rPr>
          <w:rFonts w:ascii="宋体" w:hAnsi="宋体"/>
          <w:sz w:val="24"/>
        </w:rPr>
      </w:pPr>
      <w:r>
        <w:rPr>
          <w:rFonts w:hint="eastAsia" w:ascii="宋体" w:hAnsi="宋体"/>
          <w:sz w:val="24"/>
        </w:rPr>
        <w:t>5.承包人承诺如果在供货业务往来中，向发包人有关人员馈赠礼物、礼金、有价证券等，发包人有权终止本合同并追究承包人相应法律责任，同时发包人在未来至少三年内不得与承包人发生供货业务往来。</w:t>
      </w:r>
    </w:p>
    <w:p>
      <w:pPr>
        <w:pStyle w:val="6"/>
        <w:ind w:left="103" w:leftChars="0" w:firstLineChars="0"/>
      </w:pPr>
      <w:bookmarkStart w:id="28" w:name="_Toc18683127"/>
      <w:r>
        <w:rPr>
          <w:rFonts w:hint="eastAsia"/>
        </w:rPr>
        <w:t>八、其他约定</w:t>
      </w:r>
      <w:bookmarkEnd w:id="28"/>
    </w:p>
    <w:p>
      <w:pPr>
        <w:ind w:firstLine="480"/>
        <w:rPr>
          <w:rFonts w:ascii="宋体" w:hAnsi="宋体"/>
          <w:sz w:val="24"/>
        </w:rPr>
      </w:pPr>
      <w:r>
        <w:rPr>
          <w:rFonts w:hint="eastAsia" w:ascii="宋体" w:hAnsi="宋体"/>
          <w:sz w:val="24"/>
        </w:rPr>
        <w:t>1.本工程需进行审计，</w:t>
      </w:r>
      <w:r>
        <w:rPr>
          <w:rFonts w:hint="eastAsia" w:ascii="宋体" w:hAnsi="宋体"/>
          <w:sz w:val="24"/>
          <w:lang w:bidi="en-US"/>
        </w:rPr>
        <w:t>审计费用由承包人支付，审计费按审减金额的5%计取（即审计费=实际审减金额*5%），如审计费不足壹仟捌佰元的按壹仟捌佰元计取。</w:t>
      </w:r>
      <w:r>
        <w:rPr>
          <w:rFonts w:hint="eastAsia" w:ascii="宋体"/>
          <w:sz w:val="24"/>
        </w:rPr>
        <w:t>审计费用以现金方式支付，在审计定案完成后14 天内支付完成，并提供凭证，否则发包方不予支付后续合同价款。</w:t>
      </w:r>
    </w:p>
    <w:p>
      <w:pPr>
        <w:spacing w:line="360" w:lineRule="exact"/>
        <w:ind w:firstLine="480"/>
        <w:rPr>
          <w:rFonts w:ascii="宋体" w:hAnsi="宋体"/>
          <w:sz w:val="24"/>
        </w:rPr>
      </w:pPr>
      <w:r>
        <w:rPr>
          <w:rFonts w:hint="eastAsia" w:ascii="宋体" w:hAnsi="宋体"/>
          <w:sz w:val="24"/>
        </w:rPr>
        <w:t>2.</w:t>
      </w:r>
      <w:r>
        <w:rPr>
          <w:rFonts w:hint="eastAsia" w:ascii="宋体" w:hAnsi="宋体"/>
          <w:sz w:val="24"/>
          <w:u w:val="single"/>
        </w:rPr>
        <w:t>建设工程施工安全责任书（见附件十）、工程建设项目廉政责任书（见附件十一）</w:t>
      </w:r>
      <w:r>
        <w:rPr>
          <w:rFonts w:hint="eastAsia" w:ascii="宋体" w:hAnsi="宋体"/>
          <w:sz w:val="24"/>
        </w:rPr>
        <w:t xml:space="preserve"> 为本协议的一部分，与本协议具有同等法律效力。</w:t>
      </w:r>
    </w:p>
    <w:p>
      <w:pPr>
        <w:pStyle w:val="6"/>
        <w:ind w:left="103" w:leftChars="0" w:firstLineChars="0"/>
      </w:pPr>
      <w:bookmarkStart w:id="29" w:name="_Toc18683128"/>
      <w:r>
        <w:rPr>
          <w:rFonts w:hint="eastAsia"/>
        </w:rPr>
        <w:t>九</w:t>
      </w:r>
      <w:r>
        <w:t>、词语含义</w:t>
      </w:r>
      <w:bookmarkEnd w:id="29"/>
    </w:p>
    <w:p>
      <w:pPr>
        <w:spacing w:line="360" w:lineRule="exact"/>
        <w:ind w:firstLine="480"/>
        <w:rPr>
          <w:rFonts w:ascii="宋体" w:hAnsi="宋体"/>
          <w:sz w:val="24"/>
        </w:rPr>
      </w:pPr>
      <w:r>
        <w:rPr>
          <w:rFonts w:ascii="宋体" w:hAnsi="宋体"/>
          <w:sz w:val="24"/>
        </w:rPr>
        <w:t>本协议书中词语含义与第二部分通用合同条款中赋予的含义相同。</w:t>
      </w:r>
    </w:p>
    <w:p>
      <w:pPr>
        <w:pStyle w:val="6"/>
        <w:ind w:left="103" w:leftChars="0" w:firstLineChars="0"/>
      </w:pPr>
      <w:bookmarkStart w:id="30" w:name="_Toc18683129"/>
      <w:r>
        <w:rPr>
          <w:rFonts w:hint="eastAsia"/>
        </w:rPr>
        <w:t>十</w:t>
      </w:r>
      <w:r>
        <w:t>、签订时间</w:t>
      </w:r>
      <w:bookmarkEnd w:id="30"/>
    </w:p>
    <w:p>
      <w:pPr>
        <w:spacing w:line="360" w:lineRule="exact"/>
        <w:ind w:firstLine="480"/>
        <w:rPr>
          <w:rFonts w:ascii="宋体" w:hAnsi="宋体"/>
          <w:sz w:val="24"/>
        </w:rPr>
      </w:pPr>
      <w:r>
        <w:rPr>
          <w:rFonts w:ascii="宋体" w:hAnsi="宋体"/>
          <w:sz w:val="24"/>
        </w:rPr>
        <w:t>本合同于年月日签订。</w:t>
      </w:r>
    </w:p>
    <w:p>
      <w:pPr>
        <w:pStyle w:val="6"/>
        <w:ind w:left="103" w:leftChars="0" w:firstLineChars="0"/>
      </w:pPr>
      <w:bookmarkStart w:id="31" w:name="_Toc18683130"/>
      <w:r>
        <w:t>十</w:t>
      </w:r>
      <w:r>
        <w:rPr>
          <w:rFonts w:hint="eastAsia"/>
        </w:rPr>
        <w:t>一</w:t>
      </w:r>
      <w:r>
        <w:t>、签订地点</w:t>
      </w:r>
      <w:bookmarkEnd w:id="31"/>
    </w:p>
    <w:p>
      <w:pPr>
        <w:spacing w:line="360" w:lineRule="exact"/>
        <w:ind w:firstLine="480"/>
        <w:rPr>
          <w:rFonts w:ascii="宋体" w:hAnsi="宋体"/>
          <w:sz w:val="24"/>
        </w:rPr>
      </w:pPr>
      <w:r>
        <w:rPr>
          <w:rFonts w:ascii="宋体" w:hAnsi="宋体"/>
          <w:sz w:val="24"/>
        </w:rPr>
        <w:t>本合同在签订。</w:t>
      </w:r>
    </w:p>
    <w:p>
      <w:pPr>
        <w:pStyle w:val="6"/>
        <w:ind w:left="103" w:leftChars="0" w:firstLineChars="0"/>
      </w:pPr>
      <w:bookmarkStart w:id="32" w:name="_Toc18683131"/>
      <w:r>
        <w:t>十</w:t>
      </w:r>
      <w:r>
        <w:rPr>
          <w:rFonts w:hint="eastAsia"/>
        </w:rPr>
        <w:t>二</w:t>
      </w:r>
      <w:r>
        <w:t>、补充协议</w:t>
      </w:r>
      <w:bookmarkEnd w:id="32"/>
    </w:p>
    <w:p>
      <w:pPr>
        <w:spacing w:line="360" w:lineRule="exact"/>
        <w:ind w:firstLine="480"/>
        <w:rPr>
          <w:rFonts w:ascii="宋体" w:hAnsi="宋体"/>
          <w:sz w:val="24"/>
        </w:rPr>
      </w:pPr>
      <w:r>
        <w:rPr>
          <w:rFonts w:ascii="宋体" w:hAnsi="宋体"/>
          <w:sz w:val="24"/>
        </w:rPr>
        <w:t>合同未尽事宜，合同当事人另行签订补充协议</w:t>
      </w:r>
      <w:r>
        <w:rPr>
          <w:rFonts w:hint="eastAsia" w:ascii="宋体" w:hAnsi="宋体"/>
          <w:sz w:val="24"/>
        </w:rPr>
        <w:t>，</w:t>
      </w:r>
      <w:r>
        <w:rPr>
          <w:rFonts w:ascii="宋体" w:hAnsi="宋体"/>
          <w:sz w:val="24"/>
        </w:rPr>
        <w:t>补充协议是合同的组成部分。</w:t>
      </w:r>
    </w:p>
    <w:p>
      <w:pPr>
        <w:pStyle w:val="6"/>
        <w:ind w:left="103" w:leftChars="0" w:firstLineChars="0"/>
      </w:pPr>
      <w:bookmarkStart w:id="33" w:name="_Toc18683132"/>
      <w:r>
        <w:t>十</w:t>
      </w:r>
      <w:r>
        <w:rPr>
          <w:rFonts w:hint="eastAsia"/>
        </w:rPr>
        <w:t>三</w:t>
      </w:r>
      <w:r>
        <w:t>、合同生效</w:t>
      </w:r>
      <w:bookmarkEnd w:id="33"/>
    </w:p>
    <w:p>
      <w:pPr>
        <w:spacing w:line="360" w:lineRule="exact"/>
        <w:ind w:firstLine="480"/>
        <w:rPr>
          <w:rFonts w:ascii="宋体" w:hAnsi="宋体"/>
          <w:sz w:val="24"/>
        </w:rPr>
      </w:pPr>
      <w:r>
        <w:rPr>
          <w:rFonts w:ascii="宋体" w:hAnsi="宋体"/>
          <w:sz w:val="24"/>
        </w:rPr>
        <w:t>本合同自</w:t>
      </w:r>
      <w:r>
        <w:rPr>
          <w:rFonts w:hint="eastAsia" w:ascii="宋体" w:hAnsi="宋体"/>
          <w:sz w:val="24"/>
          <w:u w:val="single"/>
        </w:rPr>
        <w:t>双方法定代表人或授权委托人签字并加盖公章（或合同章）后</w:t>
      </w:r>
      <w:r>
        <w:rPr>
          <w:rFonts w:ascii="宋体" w:hAnsi="宋体"/>
          <w:sz w:val="24"/>
        </w:rPr>
        <w:t>生效。</w:t>
      </w:r>
    </w:p>
    <w:p>
      <w:pPr>
        <w:pStyle w:val="6"/>
        <w:ind w:left="103" w:leftChars="0" w:firstLineChars="0"/>
      </w:pPr>
      <w:bookmarkStart w:id="34" w:name="_Toc18683133"/>
      <w:r>
        <w:t>十</w:t>
      </w:r>
      <w:r>
        <w:rPr>
          <w:rFonts w:hint="eastAsia"/>
        </w:rPr>
        <w:t>四</w:t>
      </w:r>
      <w:r>
        <w:t>、合同份数</w:t>
      </w:r>
      <w:bookmarkEnd w:id="34"/>
    </w:p>
    <w:p>
      <w:pPr>
        <w:spacing w:line="360" w:lineRule="exact"/>
        <w:ind w:firstLine="480"/>
        <w:rPr>
          <w:rFonts w:ascii="宋体" w:hAnsi="宋体"/>
          <w:sz w:val="24"/>
        </w:rPr>
      </w:pPr>
      <w:r>
        <w:rPr>
          <w:rFonts w:ascii="宋体" w:hAnsi="宋体"/>
          <w:sz w:val="24"/>
        </w:rPr>
        <w:t>本合同一式</w:t>
      </w:r>
      <w:r>
        <w:rPr>
          <w:rFonts w:hint="eastAsia" w:ascii="宋体" w:hAnsi="宋体"/>
          <w:sz w:val="24"/>
          <w:u w:val="single"/>
        </w:rPr>
        <w:t>4</w:t>
      </w:r>
      <w:r>
        <w:rPr>
          <w:rFonts w:ascii="宋体" w:hAnsi="宋体"/>
          <w:sz w:val="24"/>
        </w:rPr>
        <w:t>份，均具有同等法律效力，发包人执</w:t>
      </w:r>
      <w:r>
        <w:rPr>
          <w:rFonts w:hint="eastAsia" w:ascii="宋体" w:hAnsi="宋体"/>
          <w:sz w:val="24"/>
          <w:u w:val="single"/>
        </w:rPr>
        <w:t xml:space="preserve"> 3</w:t>
      </w:r>
      <w:r>
        <w:rPr>
          <w:rFonts w:ascii="宋体" w:hAnsi="宋体"/>
          <w:sz w:val="24"/>
        </w:rPr>
        <w:t>份，承包人执</w:t>
      </w:r>
      <w:r>
        <w:rPr>
          <w:rFonts w:hint="eastAsia" w:ascii="宋体" w:hAnsi="宋体"/>
          <w:sz w:val="24"/>
          <w:u w:val="single"/>
        </w:rPr>
        <w:t>1</w:t>
      </w:r>
      <w:r>
        <w:rPr>
          <w:rFonts w:ascii="宋体" w:hAnsi="宋体"/>
          <w:sz w:val="24"/>
        </w:rPr>
        <w:t>份</w:t>
      </w:r>
      <w:r>
        <w:rPr>
          <w:rFonts w:hint="eastAsia" w:ascii="宋体" w:hAnsi="宋体"/>
          <w:sz w:val="24"/>
        </w:rPr>
        <w:t>，具有同等法律效力。</w:t>
      </w:r>
    </w:p>
    <w:p>
      <w:pPr>
        <w:spacing w:line="360" w:lineRule="exact"/>
        <w:ind w:firstLine="480"/>
        <w:rPr>
          <w:rFonts w:ascii="宋体" w:hAnsi="宋体"/>
          <w:sz w:val="24"/>
        </w:rPr>
      </w:pPr>
      <w:r>
        <w:rPr>
          <w:rFonts w:ascii="宋体" w:hAnsi="宋体"/>
          <w:sz w:val="24"/>
        </w:rPr>
        <w:t>发包人</w:t>
      </w:r>
      <w:r>
        <w:rPr>
          <w:rFonts w:hint="eastAsia" w:ascii="宋体" w:hAnsi="宋体"/>
          <w:sz w:val="24"/>
        </w:rPr>
        <w:t xml:space="preserve">：北京清华长庚医院             </w:t>
      </w:r>
      <w:r>
        <w:rPr>
          <w:rFonts w:ascii="宋体" w:hAnsi="宋体"/>
          <w:sz w:val="24"/>
        </w:rPr>
        <w:t>承包人</w:t>
      </w:r>
      <w:r>
        <w:rPr>
          <w:rFonts w:hint="eastAsia" w:ascii="宋体" w:hAnsi="宋体"/>
          <w:sz w:val="24"/>
        </w:rPr>
        <w:t xml:space="preserve">：  </w:t>
      </w:r>
    </w:p>
    <w:p>
      <w:pPr>
        <w:spacing w:line="360" w:lineRule="exact"/>
        <w:ind w:firstLine="480"/>
        <w:rPr>
          <w:rFonts w:ascii="宋体" w:hAnsi="宋体"/>
          <w:sz w:val="24"/>
        </w:rPr>
      </w:pPr>
      <w:r>
        <w:rPr>
          <w:rFonts w:hint="eastAsia" w:ascii="宋体" w:hAnsi="宋体"/>
          <w:sz w:val="24"/>
        </w:rPr>
        <w:t xml:space="preserve">            (公章)                       (公章)</w:t>
      </w:r>
    </w:p>
    <w:p>
      <w:pPr>
        <w:spacing w:line="360" w:lineRule="exact"/>
        <w:ind w:firstLine="480"/>
        <w:rPr>
          <w:rFonts w:ascii="宋体" w:hAnsi="宋体"/>
          <w:sz w:val="24"/>
        </w:rPr>
      </w:pPr>
      <w:r>
        <w:rPr>
          <w:rFonts w:hint="eastAsia" w:ascii="宋体" w:hAnsi="宋体"/>
          <w:sz w:val="24"/>
        </w:rPr>
        <w:t>法定代表人或其委托代理人：  法定代表人或其委托代理人：</w:t>
      </w:r>
    </w:p>
    <w:p>
      <w:pPr>
        <w:spacing w:line="360" w:lineRule="exact"/>
        <w:ind w:firstLine="480"/>
        <w:rPr>
          <w:rFonts w:ascii="宋体" w:hAnsi="宋体"/>
          <w:sz w:val="24"/>
        </w:rPr>
      </w:pPr>
      <w:r>
        <w:rPr>
          <w:rFonts w:hint="eastAsia" w:ascii="宋体" w:hAnsi="宋体"/>
          <w:sz w:val="24"/>
        </w:rPr>
        <w:t>（签字）                    （签字）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 xml:space="preserve">地址：北京市昌平区立汤路168号      地址： </w:t>
      </w:r>
    </w:p>
    <w:p>
      <w:pPr>
        <w:spacing w:line="360" w:lineRule="exact"/>
        <w:ind w:firstLine="480"/>
        <w:rPr>
          <w:rFonts w:ascii="宋体" w:hAnsi="宋体"/>
          <w:sz w:val="24"/>
        </w:rPr>
      </w:pPr>
      <w:r>
        <w:rPr>
          <w:rFonts w:hint="eastAsia" w:ascii="宋体" w:hAnsi="宋体"/>
          <w:sz w:val="24"/>
        </w:rPr>
        <w:t xml:space="preserve">电话：010-56118899                  电话： </w:t>
      </w:r>
    </w:p>
    <w:p>
      <w:pPr>
        <w:spacing w:line="360" w:lineRule="exact"/>
        <w:ind w:firstLine="480"/>
        <w:rPr>
          <w:rFonts w:ascii="宋体" w:hAnsi="宋体"/>
          <w:sz w:val="24"/>
        </w:rPr>
      </w:pPr>
      <w:r>
        <w:rPr>
          <w:rFonts w:hint="eastAsia" w:ascii="宋体" w:hAnsi="宋体"/>
          <w:sz w:val="24"/>
        </w:rPr>
        <w:t xml:space="preserve">纳税人识别号：12110000318301495P    纳税人识别号： </w:t>
      </w:r>
    </w:p>
    <w:p>
      <w:pPr>
        <w:spacing w:line="360" w:lineRule="exact"/>
        <w:ind w:firstLine="480"/>
        <w:rPr>
          <w:rFonts w:ascii="宋体" w:hAnsi="宋体"/>
          <w:sz w:val="24"/>
        </w:rPr>
      </w:pPr>
      <w:r>
        <w:rPr>
          <w:rFonts w:hint="eastAsia" w:ascii="宋体" w:hAnsi="宋体"/>
          <w:sz w:val="24"/>
        </w:rPr>
        <w:t xml:space="preserve">开户银行：北京银行太阳宫支行        开户银行: </w:t>
      </w:r>
    </w:p>
    <w:p>
      <w:pPr>
        <w:spacing w:line="360" w:lineRule="exact"/>
        <w:ind w:firstLine="480"/>
        <w:rPr>
          <w:rFonts w:ascii="宋体" w:hAnsi="宋体"/>
          <w:sz w:val="24"/>
        </w:rPr>
      </w:pPr>
      <w:r>
        <w:rPr>
          <w:rFonts w:hint="eastAsia" w:ascii="宋体" w:hAnsi="宋体"/>
          <w:sz w:val="24"/>
        </w:rPr>
        <w:t xml:space="preserve">帐号：20000028396500002202843       帐号：  </w:t>
      </w:r>
    </w:p>
    <w:p>
      <w:pPr>
        <w:spacing w:line="360" w:lineRule="exact"/>
        <w:ind w:firstLine="480"/>
        <w:rPr>
          <w:rFonts w:ascii="宋体" w:hAnsi="宋体"/>
          <w:sz w:val="24"/>
        </w:rPr>
      </w:pPr>
    </w:p>
    <w:p>
      <w:pPr>
        <w:pStyle w:val="5"/>
        <w:ind w:firstLine="480"/>
      </w:pPr>
      <w:r>
        <w:rPr>
          <w:b w:val="0"/>
          <w:bCs w:val="0"/>
        </w:rPr>
        <w:br w:type="page"/>
      </w:r>
      <w:bookmarkStart w:id="35" w:name="_Toc18683134"/>
      <w:r>
        <w:t>第二部分 通用合同条款</w:t>
      </w:r>
      <w:bookmarkEnd w:id="35"/>
      <w:bookmarkStart w:id="36" w:name="_Toc337558727"/>
    </w:p>
    <w:p>
      <w:pPr>
        <w:pStyle w:val="6"/>
        <w:ind w:left="103" w:leftChars="0" w:firstLineChars="0"/>
      </w:pPr>
      <w:bookmarkStart w:id="37" w:name="_Toc18683135"/>
      <w:r>
        <w:t>1.</w:t>
      </w:r>
      <w:bookmarkStart w:id="38" w:name="_Toc303538973"/>
      <w:bookmarkEnd w:id="38"/>
      <w:bookmarkStart w:id="39" w:name="_Toc303538975"/>
      <w:bookmarkEnd w:id="39"/>
      <w:bookmarkStart w:id="40" w:name="_Toc303538976"/>
      <w:bookmarkEnd w:id="40"/>
      <w:bookmarkStart w:id="41" w:name="_Toc303538974"/>
      <w:bookmarkEnd w:id="41"/>
      <w:bookmarkStart w:id="42" w:name="_Toc303538972"/>
      <w:bookmarkEnd w:id="42"/>
      <w:bookmarkStart w:id="43" w:name="_Toc296346528"/>
      <w:bookmarkStart w:id="44" w:name="_Toc296503027"/>
      <w:r>
        <w:t xml:space="preserve"> 一般约定</w:t>
      </w:r>
      <w:bookmarkEnd w:id="36"/>
      <w:bookmarkEnd w:id="37"/>
      <w:bookmarkEnd w:id="43"/>
      <w:bookmarkEnd w:id="44"/>
    </w:p>
    <w:p>
      <w:pPr>
        <w:pStyle w:val="7"/>
        <w:spacing w:before="120" w:after="120"/>
        <w:ind w:firstLine="420"/>
        <w:rPr>
          <w:bCs w:val="0"/>
          <w:szCs w:val="24"/>
        </w:rPr>
      </w:pPr>
      <w:bookmarkStart w:id="45" w:name="_Toc337558728"/>
      <w:bookmarkStart w:id="46" w:name="_Toc296503028"/>
      <w:bookmarkStart w:id="47" w:name="_Toc296346529"/>
      <w:bookmarkStart w:id="48" w:name="_Toc18683136"/>
      <w:r>
        <w:rPr>
          <w:bCs w:val="0"/>
          <w:szCs w:val="24"/>
        </w:rPr>
        <w:t>1.1词语定义</w:t>
      </w:r>
      <w:bookmarkEnd w:id="45"/>
      <w:bookmarkEnd w:id="46"/>
      <w:bookmarkEnd w:id="47"/>
      <w:r>
        <w:rPr>
          <w:bCs w:val="0"/>
          <w:szCs w:val="24"/>
        </w:rPr>
        <w:t>与解释</w:t>
      </w:r>
      <w:bookmarkEnd w:id="48"/>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合同协议书、通用合同条款、专用合同条款中的下列词语具有本款所赋予的含义：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    1.1.1 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 合同：是指根据法律规定和合同当事人约定具有约束力的文件，构成合同的文件包括合同协议书、中标通知书（如果有）、投标函及其附录（如果有）、专用合同条款</w:t>
      </w:r>
      <w:r>
        <w:rPr>
          <w:rFonts w:ascii="宋体" w:hAnsi="宋体"/>
          <w:sz w:val="24"/>
        </w:rPr>
        <w:t>及其附件</w:t>
      </w:r>
      <w:r>
        <w:rPr>
          <w:rFonts w:ascii="宋体" w:hAnsi="宋体"/>
          <w:kern w:val="0"/>
          <w:sz w:val="24"/>
        </w:rPr>
        <w:t>、通用合同条款、技术标准和要求、图纸、已标价工程量清单或预算书以及其他合同文件。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1.1.1.2 合同协议书：是指构成合同的由发包人和承包人共同签署的称为“合同协议书”的书面文件</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1.1.1.3 中标通知书：是指构成合同的</w:t>
      </w:r>
      <w:r>
        <w:rPr>
          <w:rFonts w:hint="eastAsia" w:ascii="宋体" w:hAnsi="宋体"/>
          <w:kern w:val="0"/>
          <w:sz w:val="24"/>
        </w:rPr>
        <w:t>由</w:t>
      </w:r>
      <w:r>
        <w:rPr>
          <w:rFonts w:ascii="宋体" w:hAnsi="宋体"/>
          <w:kern w:val="0"/>
          <w:sz w:val="24"/>
        </w:rPr>
        <w:t>发包人通知承包人中标的书面文件。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1.1.1.4 投标函：是指构成合同的由承包人填写并签署的用于投标的称为“投标函”的文件。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1.1.1.5 投标函附录：是指构成合同的附在投标函后的称为“投标函附录”的文件。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1.1.1.6 技术标准和要求：是指构成合同的施工应当遵守的或指导施工的国家、行业或地方的技术标准和要求，以及合同约定的技术标准和要求。</w:t>
      </w:r>
    </w:p>
    <w:p>
      <w:pPr>
        <w:spacing w:line="360" w:lineRule="exact"/>
        <w:ind w:firstLine="480"/>
        <w:jc w:val="left"/>
        <w:rPr>
          <w:rFonts w:ascii="宋体" w:hAnsi="宋体"/>
          <w:kern w:val="0"/>
          <w:sz w:val="24"/>
        </w:rPr>
      </w:pPr>
      <w:r>
        <w:rPr>
          <w:rFonts w:ascii="宋体" w:hAnsi="宋体"/>
          <w:kern w:val="0"/>
          <w:sz w:val="24"/>
        </w:rPr>
        <w:t>1.1.1.7 图纸：是指构成合同的图纸，包括由发包人按照合同约定提供或经发包人批准的设计文件、</w:t>
      </w:r>
      <w:r>
        <w:rPr>
          <w:rFonts w:hint="eastAsia" w:ascii="宋体" w:hAnsi="宋体"/>
          <w:kern w:val="0"/>
          <w:sz w:val="24"/>
        </w:rPr>
        <w:t>施工图、</w:t>
      </w:r>
      <w:r>
        <w:rPr>
          <w:rFonts w:ascii="宋体" w:hAnsi="宋体"/>
          <w:kern w:val="0"/>
          <w:sz w:val="24"/>
        </w:rPr>
        <w:t>鸟瞰图及模型等，</w:t>
      </w:r>
      <w:r>
        <w:rPr>
          <w:rFonts w:hint="eastAsia" w:ascii="宋体" w:hAnsi="宋体"/>
          <w:kern w:val="0"/>
          <w:sz w:val="24"/>
        </w:rPr>
        <w:t>以及在合同履行过程中形成的图纸文件。图纸</w:t>
      </w:r>
      <w:r>
        <w:rPr>
          <w:rFonts w:ascii="宋体" w:hAnsi="宋体"/>
          <w:kern w:val="0"/>
          <w:sz w:val="24"/>
        </w:rPr>
        <w:t>应当按照法律规定审查合格。</w:t>
      </w:r>
    </w:p>
    <w:p>
      <w:pPr>
        <w:autoSpaceDE w:val="0"/>
        <w:autoSpaceDN w:val="0"/>
        <w:adjustRightInd w:val="0"/>
        <w:spacing w:line="360" w:lineRule="exact"/>
        <w:ind w:firstLine="468" w:firstLineChars="195"/>
        <w:jc w:val="left"/>
        <w:rPr>
          <w:rFonts w:ascii="宋体" w:hAnsi="宋体"/>
          <w:kern w:val="0"/>
          <w:sz w:val="24"/>
        </w:rPr>
      </w:pPr>
      <w:r>
        <w:rPr>
          <w:rFonts w:ascii="宋体" w:hAnsi="宋体"/>
          <w:kern w:val="0"/>
          <w:sz w:val="24"/>
        </w:rPr>
        <w:t>1.1.1.8 已标价工程量清单：是指构成合同的由承包人按照规定的格式和要求填写并标明价格的工程量清单，包括说明和表格。</w:t>
      </w:r>
    </w:p>
    <w:p>
      <w:pPr>
        <w:autoSpaceDE w:val="0"/>
        <w:autoSpaceDN w:val="0"/>
        <w:adjustRightInd w:val="0"/>
        <w:spacing w:line="360" w:lineRule="exact"/>
        <w:ind w:firstLine="468" w:firstLineChars="195"/>
        <w:jc w:val="left"/>
        <w:rPr>
          <w:rFonts w:ascii="宋体" w:hAnsi="宋体"/>
          <w:kern w:val="0"/>
          <w:sz w:val="24"/>
        </w:rPr>
      </w:pPr>
      <w:r>
        <w:rPr>
          <w:rFonts w:ascii="宋体" w:hAnsi="宋体"/>
          <w:kern w:val="0"/>
          <w:sz w:val="24"/>
        </w:rPr>
        <w:t>1.1.1.9 预算书：是指构成合同的由承包人按照发包人规定的格式和要求编制的工程预算文件。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    1.1.2 合同当事人及其他相关方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1.1.2.1 合同当事人：是指发包人和（或）承包人。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1.1.2.2 发包人：是指与承包人签订合同协议书的当事人及取得该当事人资格的合法继承人。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1.1.2.3 承包人：是指与发包人签订合同协议书的，具有相应工程施工承包资质的当事人及取得该当事人资格的合法继承人。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1.1.2.4 监理人：是指在专用合同条款中指明的，受发包人委托按照法律规定进行工程监督管理的法人或其他组织。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1.1.2.5 设计人：是指在专用合同条款中指明的，受发包人委托负责工程设计并具备相应工程设计资质的法人或其他组织。</w:t>
      </w:r>
    </w:p>
    <w:p>
      <w:pPr>
        <w:spacing w:line="360" w:lineRule="exact"/>
        <w:ind w:firstLine="468" w:firstLineChars="195"/>
        <w:jc w:val="left"/>
        <w:rPr>
          <w:rFonts w:ascii="宋体" w:hAnsi="宋体"/>
          <w:kern w:val="0"/>
          <w:sz w:val="24"/>
        </w:rPr>
      </w:pPr>
      <w:r>
        <w:rPr>
          <w:rFonts w:ascii="宋体" w:hAnsi="宋体"/>
          <w:kern w:val="0"/>
          <w:sz w:val="24"/>
        </w:rPr>
        <w:t>1.1.2.6 分包人：</w:t>
      </w:r>
      <w:bookmarkStart w:id="49" w:name="#go5"/>
      <w:bookmarkEnd w:id="49"/>
      <w:r>
        <w:rPr>
          <w:rFonts w:ascii="宋体" w:hAnsi="宋体"/>
          <w:kern w:val="0"/>
          <w:sz w:val="24"/>
        </w:rPr>
        <w:t>是指</w:t>
      </w:r>
      <w:r>
        <w:rPr>
          <w:rFonts w:hint="eastAsia" w:ascii="宋体" w:hAnsi="宋体"/>
          <w:kern w:val="0"/>
          <w:sz w:val="24"/>
        </w:rPr>
        <w:t>按照法律规定和</w:t>
      </w:r>
      <w:r>
        <w:rPr>
          <w:rFonts w:ascii="宋体" w:hAnsi="宋体"/>
          <w:kern w:val="0"/>
          <w:sz w:val="24"/>
        </w:rPr>
        <w:t>合同约定，分包</w:t>
      </w:r>
      <w:r>
        <w:rPr>
          <w:rFonts w:hint="eastAsia" w:ascii="宋体" w:hAnsi="宋体"/>
          <w:kern w:val="0"/>
          <w:sz w:val="24"/>
        </w:rPr>
        <w:t>部分</w:t>
      </w:r>
      <w:r>
        <w:rPr>
          <w:rFonts w:ascii="宋体" w:hAnsi="宋体"/>
          <w:kern w:val="0"/>
          <w:sz w:val="24"/>
        </w:rPr>
        <w:t>工程</w:t>
      </w:r>
      <w:r>
        <w:rPr>
          <w:rFonts w:hint="eastAsia" w:ascii="宋体" w:hAnsi="宋体"/>
          <w:kern w:val="0"/>
          <w:sz w:val="24"/>
        </w:rPr>
        <w:t>或工作</w:t>
      </w:r>
      <w:r>
        <w:rPr>
          <w:rFonts w:ascii="宋体" w:hAnsi="宋体"/>
          <w:kern w:val="0"/>
          <w:sz w:val="24"/>
        </w:rPr>
        <w:t>，并与</w:t>
      </w:r>
      <w:r>
        <w:rPr>
          <w:rFonts w:hint="eastAsia" w:ascii="宋体" w:hAnsi="宋体"/>
          <w:kern w:val="0"/>
          <w:sz w:val="24"/>
        </w:rPr>
        <w:t>承包人</w:t>
      </w:r>
      <w:r>
        <w:rPr>
          <w:rFonts w:ascii="宋体" w:hAnsi="宋体"/>
          <w:kern w:val="0"/>
          <w:sz w:val="24"/>
        </w:rPr>
        <w:t>签订分包合同的具有相应资质的法人。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1.1.2.7 发包人代表：是指由发包人任命并派驻施工现场在发包人授权范围内行使发包人权利的人。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1.1.2.8 项目经理：是指由承包人任命并派驻施工现场，在承包人授权范围内负责合同履行，且按照法律规定具有相应资格的</w:t>
      </w:r>
      <w:r>
        <w:rPr>
          <w:rFonts w:hint="eastAsia" w:ascii="宋体" w:hAnsi="宋体"/>
          <w:kern w:val="0"/>
          <w:sz w:val="24"/>
        </w:rPr>
        <w:t>项目负责</w:t>
      </w:r>
      <w:r>
        <w:rPr>
          <w:rFonts w:ascii="宋体" w:hAnsi="宋体"/>
          <w:kern w:val="0"/>
          <w:sz w:val="24"/>
        </w:rPr>
        <w:t>人。</w:t>
      </w:r>
    </w:p>
    <w:p>
      <w:pPr>
        <w:spacing w:line="360" w:lineRule="exact"/>
        <w:ind w:firstLine="480"/>
        <w:jc w:val="left"/>
        <w:rPr>
          <w:rFonts w:ascii="宋体" w:hAnsi="宋体"/>
          <w:kern w:val="0"/>
          <w:sz w:val="24"/>
        </w:rPr>
      </w:pPr>
      <w:r>
        <w:rPr>
          <w:rFonts w:ascii="宋体" w:hAnsi="宋体"/>
          <w:kern w:val="0"/>
          <w:sz w:val="24"/>
        </w:rPr>
        <w:t>1.1.2.9 总监理工程师：是指由监理人任命并派驻施工现场进行工程监理的总负责人。</w:t>
      </w:r>
    </w:p>
    <w:p>
      <w:pPr>
        <w:spacing w:line="360" w:lineRule="exact"/>
        <w:ind w:firstLine="480"/>
        <w:jc w:val="left"/>
        <w:rPr>
          <w:rFonts w:ascii="宋体" w:hAnsi="宋体"/>
          <w:kern w:val="0"/>
          <w:sz w:val="24"/>
        </w:rPr>
      </w:pPr>
      <w:r>
        <w:rPr>
          <w:rFonts w:ascii="宋体" w:hAnsi="宋体"/>
          <w:kern w:val="0"/>
          <w:sz w:val="24"/>
        </w:rPr>
        <w:t>1.1.3 工程和设备</w:t>
      </w:r>
    </w:p>
    <w:p>
      <w:pPr>
        <w:spacing w:line="360" w:lineRule="exact"/>
        <w:ind w:firstLine="480"/>
        <w:jc w:val="left"/>
        <w:rPr>
          <w:rFonts w:ascii="宋体" w:hAnsi="宋体"/>
          <w:kern w:val="0"/>
          <w:sz w:val="24"/>
        </w:rPr>
      </w:pPr>
      <w:r>
        <w:rPr>
          <w:rFonts w:ascii="宋体" w:hAnsi="宋体"/>
          <w:kern w:val="0"/>
          <w:sz w:val="24"/>
        </w:rPr>
        <w:t>1.1.3.1 工程：是指与合同协议书中工程承包范围对应的永久工程和（或）临时工程。</w:t>
      </w:r>
    </w:p>
    <w:p>
      <w:pPr>
        <w:spacing w:line="360" w:lineRule="exact"/>
        <w:ind w:firstLine="480"/>
        <w:jc w:val="left"/>
        <w:rPr>
          <w:rFonts w:ascii="宋体" w:hAnsi="宋体"/>
          <w:kern w:val="0"/>
          <w:sz w:val="24"/>
        </w:rPr>
      </w:pPr>
      <w:r>
        <w:rPr>
          <w:rFonts w:ascii="宋体" w:hAnsi="宋体"/>
          <w:kern w:val="0"/>
          <w:sz w:val="24"/>
        </w:rPr>
        <w:t>1.1.3.2 永久工程：是指按合同约定建造并移交给发包人的工程，包括工程设备。</w:t>
      </w:r>
    </w:p>
    <w:p>
      <w:pPr>
        <w:spacing w:line="360" w:lineRule="exact"/>
        <w:ind w:firstLine="480"/>
        <w:jc w:val="left"/>
        <w:rPr>
          <w:rFonts w:ascii="宋体" w:hAnsi="宋体"/>
          <w:kern w:val="0"/>
          <w:sz w:val="24"/>
        </w:rPr>
      </w:pPr>
      <w:r>
        <w:rPr>
          <w:rFonts w:ascii="宋体" w:hAnsi="宋体"/>
          <w:kern w:val="0"/>
          <w:sz w:val="24"/>
        </w:rPr>
        <w:t>1.1.3.3 临时工程：是指为完成合同约定的永久工程所修建的各类临时性工程，不包括施工设备。</w:t>
      </w:r>
    </w:p>
    <w:p>
      <w:pPr>
        <w:spacing w:line="360" w:lineRule="exact"/>
        <w:ind w:firstLine="480"/>
        <w:jc w:val="left"/>
        <w:rPr>
          <w:rFonts w:ascii="宋体" w:hAnsi="宋体"/>
          <w:kern w:val="0"/>
          <w:sz w:val="24"/>
        </w:rPr>
      </w:pPr>
      <w:r>
        <w:rPr>
          <w:rFonts w:ascii="宋体" w:hAnsi="宋体"/>
          <w:kern w:val="0"/>
          <w:sz w:val="24"/>
        </w:rPr>
        <w:t>1.1.3.4 单位工程：是指在</w:t>
      </w:r>
      <w:r>
        <w:rPr>
          <w:rFonts w:hint="eastAsia" w:ascii="宋体" w:hAnsi="宋体"/>
          <w:kern w:val="0"/>
          <w:sz w:val="24"/>
        </w:rPr>
        <w:t>合同协议书</w:t>
      </w:r>
      <w:r>
        <w:rPr>
          <w:rFonts w:ascii="宋体" w:hAnsi="宋体"/>
          <w:kern w:val="0"/>
          <w:sz w:val="24"/>
        </w:rPr>
        <w:t>中指明的，具备独立施工条件并能形成独立使用功能的永久工程。</w:t>
      </w:r>
    </w:p>
    <w:p>
      <w:pPr>
        <w:spacing w:line="360" w:lineRule="exact"/>
        <w:ind w:firstLine="480"/>
        <w:jc w:val="left"/>
        <w:rPr>
          <w:rFonts w:ascii="宋体" w:hAnsi="宋体"/>
          <w:kern w:val="0"/>
          <w:sz w:val="24"/>
        </w:rPr>
      </w:pPr>
      <w:r>
        <w:rPr>
          <w:rFonts w:ascii="宋体" w:hAnsi="宋体"/>
          <w:kern w:val="0"/>
          <w:sz w:val="24"/>
        </w:rPr>
        <w:t>1.1.3.5 工程设备：是指构成永久工程的机电设备、金属结构设备、仪器及其他类似的设备和装置。</w:t>
      </w:r>
    </w:p>
    <w:p>
      <w:pPr>
        <w:spacing w:line="360" w:lineRule="exact"/>
        <w:ind w:firstLine="480"/>
        <w:jc w:val="left"/>
        <w:rPr>
          <w:rFonts w:ascii="宋体" w:hAnsi="宋体"/>
          <w:kern w:val="0"/>
          <w:sz w:val="24"/>
        </w:rPr>
      </w:pPr>
      <w:r>
        <w:rPr>
          <w:rFonts w:ascii="宋体" w:hAnsi="宋体"/>
          <w:kern w:val="0"/>
          <w:sz w:val="24"/>
        </w:rPr>
        <w:t>1.1.3.6 施工设备：是指为完成合同约定的各项工作所需的设备、器具和其他物品，但不包括工程设备、临时工程和材料。</w:t>
      </w:r>
    </w:p>
    <w:p>
      <w:pPr>
        <w:spacing w:line="360" w:lineRule="exact"/>
        <w:ind w:firstLine="480"/>
        <w:jc w:val="left"/>
        <w:rPr>
          <w:rFonts w:ascii="宋体" w:hAnsi="宋体"/>
          <w:kern w:val="0"/>
          <w:sz w:val="24"/>
        </w:rPr>
      </w:pPr>
      <w:r>
        <w:rPr>
          <w:rFonts w:ascii="宋体" w:hAnsi="宋体"/>
          <w:kern w:val="0"/>
          <w:sz w:val="24"/>
        </w:rPr>
        <w:t>1.1.3.7 施工现场：是指用于工程施工的场所，以及在专用合同条款中</w:t>
      </w:r>
      <w:r>
        <w:rPr>
          <w:rFonts w:hint="eastAsia" w:ascii="宋体" w:hAnsi="宋体"/>
          <w:kern w:val="0"/>
          <w:sz w:val="24"/>
        </w:rPr>
        <w:t>指</w:t>
      </w:r>
      <w:r>
        <w:rPr>
          <w:rFonts w:ascii="宋体" w:hAnsi="宋体"/>
          <w:kern w:val="0"/>
          <w:sz w:val="24"/>
        </w:rPr>
        <w:t>明作为施工场所组成部分的其他场所，包括永久占地和临时占地。</w:t>
      </w:r>
    </w:p>
    <w:p>
      <w:pPr>
        <w:spacing w:line="360" w:lineRule="exact"/>
        <w:ind w:firstLine="480"/>
        <w:jc w:val="left"/>
        <w:rPr>
          <w:rFonts w:ascii="宋体" w:hAnsi="宋体"/>
          <w:kern w:val="0"/>
          <w:sz w:val="24"/>
        </w:rPr>
      </w:pPr>
      <w:r>
        <w:rPr>
          <w:rFonts w:ascii="宋体" w:hAnsi="宋体"/>
          <w:kern w:val="0"/>
          <w:sz w:val="24"/>
        </w:rPr>
        <w:t>1.1.3.8临时设施：是指为完成合同约定的各项工作所服务的临时性生产和生活设施。</w:t>
      </w:r>
    </w:p>
    <w:p>
      <w:pPr>
        <w:spacing w:line="360" w:lineRule="exact"/>
        <w:ind w:firstLine="480"/>
        <w:jc w:val="left"/>
        <w:rPr>
          <w:rFonts w:ascii="宋体" w:hAnsi="宋体"/>
          <w:kern w:val="0"/>
          <w:sz w:val="24"/>
        </w:rPr>
      </w:pPr>
      <w:r>
        <w:rPr>
          <w:rFonts w:ascii="宋体" w:hAnsi="宋体"/>
          <w:kern w:val="0"/>
          <w:sz w:val="24"/>
        </w:rPr>
        <w:t>1.1.3.9 永久占地：是指专用合同条款中指明为实施工程需永久占用的土地。</w:t>
      </w:r>
    </w:p>
    <w:p>
      <w:pPr>
        <w:spacing w:line="360" w:lineRule="exact"/>
        <w:ind w:firstLine="480"/>
        <w:jc w:val="left"/>
        <w:rPr>
          <w:rFonts w:ascii="宋体" w:hAnsi="宋体"/>
          <w:kern w:val="0"/>
          <w:sz w:val="24"/>
        </w:rPr>
      </w:pPr>
      <w:r>
        <w:rPr>
          <w:rFonts w:ascii="宋体" w:hAnsi="宋体"/>
          <w:kern w:val="0"/>
          <w:sz w:val="24"/>
        </w:rPr>
        <w:t>1.1.3.10 临时占地：是指专用合同条款中指明为实施工程需要临时占用的土地。</w:t>
      </w:r>
    </w:p>
    <w:p>
      <w:pPr>
        <w:spacing w:line="360" w:lineRule="exact"/>
        <w:ind w:firstLine="480"/>
        <w:jc w:val="left"/>
        <w:rPr>
          <w:rFonts w:ascii="宋体" w:hAnsi="宋体"/>
          <w:kern w:val="0"/>
          <w:sz w:val="24"/>
        </w:rPr>
      </w:pPr>
      <w:r>
        <w:rPr>
          <w:rFonts w:ascii="宋体" w:hAnsi="宋体"/>
          <w:kern w:val="0"/>
          <w:sz w:val="24"/>
        </w:rPr>
        <w:t>1.1.4 日期和期限</w:t>
      </w:r>
    </w:p>
    <w:p>
      <w:pPr>
        <w:spacing w:line="360" w:lineRule="exact"/>
        <w:ind w:firstLine="480"/>
        <w:jc w:val="left"/>
        <w:rPr>
          <w:rFonts w:ascii="宋体" w:hAnsi="宋体"/>
          <w:kern w:val="0"/>
          <w:sz w:val="24"/>
        </w:rPr>
      </w:pPr>
      <w:r>
        <w:rPr>
          <w:rFonts w:ascii="宋体" w:hAnsi="宋体"/>
          <w:kern w:val="0"/>
          <w:sz w:val="24"/>
        </w:rPr>
        <w:t>1.1.4.1 开工日期：包括计划开工日期和实际开工日期。计划开工日期是指合同协议书约定的开工日期；实际开工日期是指监理人按照第7.3.2项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约定发出的符合法律规定的开工通知中载明的开工日期。</w:t>
      </w:r>
    </w:p>
    <w:p>
      <w:pPr>
        <w:spacing w:line="360" w:lineRule="exact"/>
        <w:ind w:firstLine="480"/>
        <w:jc w:val="left"/>
        <w:rPr>
          <w:rFonts w:ascii="宋体" w:hAnsi="宋体"/>
          <w:kern w:val="0"/>
          <w:sz w:val="24"/>
        </w:rPr>
      </w:pPr>
      <w:r>
        <w:rPr>
          <w:rFonts w:ascii="宋体" w:hAnsi="宋体"/>
          <w:kern w:val="0"/>
          <w:sz w:val="24"/>
        </w:rPr>
        <w:t>1.1.4.2 竣工日期：包括计划竣工日期和实际竣工日期。计划竣工日期是指合同协议书约定的竣工日期</w:t>
      </w:r>
      <w:r>
        <w:rPr>
          <w:rFonts w:hint="eastAsia" w:ascii="宋体" w:hAnsi="宋体"/>
          <w:kern w:val="0"/>
          <w:sz w:val="24"/>
        </w:rPr>
        <w:t>；</w:t>
      </w:r>
      <w:r>
        <w:rPr>
          <w:rFonts w:ascii="宋体" w:hAnsi="宋体"/>
          <w:kern w:val="0"/>
          <w:sz w:val="24"/>
        </w:rPr>
        <w:t>实际竣工日期按照第13.2.3项</w:t>
      </w:r>
      <w:r>
        <w:rPr>
          <w:rFonts w:hint="eastAsia" w:ascii="宋体" w:hAnsi="宋体"/>
          <w:kern w:val="0"/>
          <w:sz w:val="24"/>
        </w:rPr>
        <w:t>〔</w:t>
      </w:r>
      <w:r>
        <w:rPr>
          <w:rFonts w:ascii="宋体" w:hAnsi="宋体"/>
          <w:kern w:val="0"/>
          <w:sz w:val="24"/>
        </w:rPr>
        <w:t>竣工日期</w:t>
      </w:r>
      <w:r>
        <w:rPr>
          <w:rFonts w:hint="eastAsia" w:ascii="宋体" w:hAnsi="宋体"/>
          <w:kern w:val="0"/>
          <w:sz w:val="24"/>
        </w:rPr>
        <w:t>〕</w:t>
      </w:r>
      <w:r>
        <w:rPr>
          <w:rFonts w:ascii="宋体" w:hAnsi="宋体"/>
          <w:kern w:val="0"/>
          <w:sz w:val="24"/>
        </w:rPr>
        <w:t xml:space="preserve">的约定确定。 </w:t>
      </w:r>
    </w:p>
    <w:p>
      <w:pPr>
        <w:spacing w:line="360" w:lineRule="exact"/>
        <w:ind w:firstLine="487" w:firstLineChars="203"/>
        <w:rPr>
          <w:rFonts w:ascii="宋体" w:hAnsi="宋体"/>
          <w:sz w:val="24"/>
        </w:rPr>
      </w:pPr>
      <w:r>
        <w:rPr>
          <w:rFonts w:ascii="宋体" w:hAnsi="宋体"/>
          <w:kern w:val="0"/>
          <w:sz w:val="24"/>
        </w:rPr>
        <w:t>1.1.4.3 工期：是指在合同协议书约定的承包人完成工程所需的期限，包括按照合同约定所作的</w:t>
      </w:r>
      <w:r>
        <w:rPr>
          <w:rFonts w:hint="eastAsia" w:ascii="宋体" w:hAnsi="宋体"/>
          <w:kern w:val="0"/>
          <w:sz w:val="24"/>
        </w:rPr>
        <w:t>期限</w:t>
      </w:r>
      <w:r>
        <w:rPr>
          <w:rFonts w:ascii="宋体" w:hAnsi="宋体"/>
          <w:kern w:val="0"/>
          <w:sz w:val="24"/>
        </w:rPr>
        <w:t>变更。</w:t>
      </w:r>
    </w:p>
    <w:p>
      <w:pPr>
        <w:spacing w:line="360" w:lineRule="exact"/>
        <w:ind w:firstLine="480"/>
        <w:jc w:val="left"/>
        <w:rPr>
          <w:rFonts w:ascii="宋体" w:hAnsi="宋体"/>
          <w:kern w:val="0"/>
          <w:sz w:val="24"/>
        </w:rPr>
      </w:pPr>
      <w:r>
        <w:rPr>
          <w:rFonts w:ascii="宋体" w:hAnsi="宋体"/>
          <w:kern w:val="0"/>
          <w:sz w:val="24"/>
        </w:rPr>
        <w:t>1.1.4.4 缺陷责任期：是指承包人按照合同约定承担缺陷修复义务，且发包人</w:t>
      </w:r>
      <w:r>
        <w:rPr>
          <w:rFonts w:hint="eastAsia" w:ascii="宋体" w:hAnsi="宋体"/>
          <w:kern w:val="0"/>
          <w:sz w:val="24"/>
        </w:rPr>
        <w:t>预</w:t>
      </w:r>
      <w:r>
        <w:rPr>
          <w:rFonts w:ascii="宋体" w:hAnsi="宋体"/>
          <w:kern w:val="0"/>
          <w:sz w:val="24"/>
        </w:rPr>
        <w:t>留质量保证金</w:t>
      </w:r>
      <w:r>
        <w:rPr>
          <w:rFonts w:hint="eastAsia" w:ascii="宋体" w:hAnsi="宋体"/>
          <w:kern w:val="0"/>
          <w:sz w:val="24"/>
        </w:rPr>
        <w:t>（已</w:t>
      </w:r>
      <w:r>
        <w:rPr>
          <w:rFonts w:ascii="宋体" w:hAnsi="宋体"/>
          <w:kern w:val="0"/>
          <w:sz w:val="24"/>
        </w:rPr>
        <w:t>缴纳履约保证金的除外</w:t>
      </w:r>
      <w:r>
        <w:rPr>
          <w:rFonts w:hint="eastAsia" w:ascii="宋体" w:hAnsi="宋体"/>
          <w:kern w:val="0"/>
          <w:sz w:val="24"/>
        </w:rPr>
        <w:t>）</w:t>
      </w:r>
      <w:r>
        <w:rPr>
          <w:rFonts w:ascii="宋体" w:hAnsi="宋体"/>
          <w:kern w:val="0"/>
          <w:sz w:val="24"/>
        </w:rPr>
        <w:t>的期限，</w:t>
      </w:r>
      <w:r>
        <w:rPr>
          <w:rFonts w:hint="eastAsia" w:ascii="宋体" w:hAnsi="宋体"/>
          <w:kern w:val="0"/>
          <w:sz w:val="24"/>
        </w:rPr>
        <w:t>自</w:t>
      </w:r>
      <w:r>
        <w:rPr>
          <w:rFonts w:ascii="宋体" w:hAnsi="宋体"/>
          <w:kern w:val="0"/>
          <w:sz w:val="24"/>
        </w:rPr>
        <w:t>工程</w:t>
      </w:r>
      <w:r>
        <w:rPr>
          <w:rFonts w:hint="eastAsia" w:ascii="宋体" w:hAnsi="宋体"/>
          <w:kern w:val="0"/>
          <w:sz w:val="24"/>
        </w:rPr>
        <w:t>实际竣工日期</w:t>
      </w:r>
      <w:r>
        <w:rPr>
          <w:rFonts w:ascii="宋体" w:hAnsi="宋体"/>
          <w:kern w:val="0"/>
          <w:sz w:val="24"/>
        </w:rPr>
        <w:t>起计算。</w:t>
      </w:r>
    </w:p>
    <w:p>
      <w:pPr>
        <w:spacing w:line="360" w:lineRule="exact"/>
        <w:ind w:firstLine="480"/>
        <w:jc w:val="left"/>
        <w:rPr>
          <w:rFonts w:ascii="宋体" w:hAnsi="宋体"/>
          <w:kern w:val="0"/>
          <w:sz w:val="24"/>
        </w:rPr>
      </w:pPr>
      <w:r>
        <w:rPr>
          <w:rFonts w:ascii="宋体" w:hAnsi="宋体"/>
          <w:kern w:val="0"/>
          <w:sz w:val="24"/>
        </w:rPr>
        <w:t>1.1.4.5 保修期：是指承包人按照合同约定对工程承担保修责任的期限，从工程竣工验收合格之日起计算。</w:t>
      </w:r>
    </w:p>
    <w:p>
      <w:pPr>
        <w:spacing w:line="360" w:lineRule="exact"/>
        <w:ind w:firstLine="480"/>
        <w:jc w:val="left"/>
        <w:rPr>
          <w:rFonts w:ascii="宋体" w:hAnsi="宋体"/>
          <w:kern w:val="0"/>
          <w:sz w:val="24"/>
        </w:rPr>
      </w:pPr>
      <w:r>
        <w:rPr>
          <w:rFonts w:ascii="宋体" w:hAnsi="宋体"/>
          <w:kern w:val="0"/>
          <w:sz w:val="24"/>
        </w:rPr>
        <w:t>1.1.4.6 基准日期：招标发包的工程以投标截止日前28天的日期为基准日</w:t>
      </w:r>
      <w:r>
        <w:rPr>
          <w:rFonts w:hint="eastAsia" w:ascii="宋体" w:hAnsi="宋体"/>
          <w:kern w:val="0"/>
          <w:sz w:val="24"/>
        </w:rPr>
        <w:t>期</w:t>
      </w:r>
      <w:r>
        <w:rPr>
          <w:rFonts w:ascii="宋体" w:hAnsi="宋体"/>
          <w:kern w:val="0"/>
          <w:sz w:val="24"/>
        </w:rPr>
        <w:t>，直接发包的工程以合同签订日前28天的日期为基准日</w:t>
      </w:r>
      <w:r>
        <w:rPr>
          <w:rFonts w:hint="eastAsia" w:ascii="宋体" w:hAnsi="宋体"/>
          <w:kern w:val="0"/>
          <w:sz w:val="24"/>
        </w:rPr>
        <w:t>期</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1.1.4.7 天：除特别指明外，均指日历天。合同中按天计算时间的，开始当天不计入，从次日开始计算，期限最后一天的截止时间为当天24:00时。</w:t>
      </w:r>
    </w:p>
    <w:p>
      <w:pPr>
        <w:spacing w:line="360" w:lineRule="exact"/>
        <w:ind w:firstLine="480"/>
        <w:jc w:val="left"/>
        <w:rPr>
          <w:rFonts w:ascii="宋体" w:hAnsi="宋体"/>
          <w:kern w:val="0"/>
          <w:sz w:val="24"/>
        </w:rPr>
      </w:pPr>
      <w:r>
        <w:rPr>
          <w:rFonts w:ascii="宋体" w:hAnsi="宋体"/>
          <w:kern w:val="0"/>
          <w:sz w:val="24"/>
        </w:rPr>
        <w:t>1.1.5 合同价格和费用</w:t>
      </w:r>
    </w:p>
    <w:p>
      <w:pPr>
        <w:spacing w:line="360" w:lineRule="exact"/>
        <w:ind w:firstLine="480"/>
        <w:jc w:val="left"/>
        <w:rPr>
          <w:rFonts w:ascii="宋体" w:hAnsi="宋体"/>
          <w:sz w:val="24"/>
        </w:rPr>
      </w:pPr>
      <w:r>
        <w:rPr>
          <w:rFonts w:ascii="宋体" w:hAnsi="宋体"/>
          <w:kern w:val="0"/>
          <w:sz w:val="24"/>
        </w:rPr>
        <w:t>1.1.5.1 签约合同价：是指</w:t>
      </w:r>
      <w:r>
        <w:rPr>
          <w:rFonts w:ascii="宋体" w:hAnsi="宋体"/>
          <w:sz w:val="24"/>
        </w:rPr>
        <w:t>发包人和承包人在合同协议书中确定的总金额，包括安全文明施工费、暂估价及暂列金额等。</w:t>
      </w:r>
    </w:p>
    <w:p>
      <w:pPr>
        <w:spacing w:line="360" w:lineRule="exact"/>
        <w:ind w:firstLine="480"/>
        <w:jc w:val="left"/>
        <w:rPr>
          <w:rFonts w:ascii="宋体" w:hAnsi="宋体"/>
          <w:kern w:val="0"/>
          <w:sz w:val="24"/>
        </w:rPr>
      </w:pPr>
      <w:r>
        <w:rPr>
          <w:rFonts w:ascii="宋体" w:hAnsi="宋体"/>
          <w:kern w:val="0"/>
          <w:sz w:val="24"/>
        </w:rPr>
        <w:t>1.1.5.2 合同价格：是指发包人用于支付承包人按照合同约定完成承包范围内全部工作的金额，包括合同履行过程中按合同约定</w:t>
      </w:r>
      <w:r>
        <w:rPr>
          <w:rFonts w:hint="eastAsia" w:ascii="宋体" w:hAnsi="宋体"/>
          <w:kern w:val="0"/>
          <w:sz w:val="24"/>
        </w:rPr>
        <w:t>发生的价格变化。</w:t>
      </w:r>
    </w:p>
    <w:p>
      <w:pPr>
        <w:spacing w:line="360" w:lineRule="exact"/>
        <w:ind w:firstLine="480"/>
        <w:jc w:val="left"/>
        <w:rPr>
          <w:rFonts w:ascii="宋体" w:hAnsi="宋体"/>
          <w:kern w:val="0"/>
          <w:sz w:val="24"/>
        </w:rPr>
      </w:pPr>
      <w:r>
        <w:rPr>
          <w:rFonts w:ascii="宋体" w:hAnsi="宋体"/>
          <w:kern w:val="0"/>
          <w:sz w:val="24"/>
        </w:rPr>
        <w:t>1.1.5.3 费用：是指为履行合同所发生的或将要发生的所有必需的开支，包括管理费和应分摊的其他费用，但不包括利润。</w:t>
      </w:r>
    </w:p>
    <w:p>
      <w:pPr>
        <w:spacing w:line="360" w:lineRule="exact"/>
        <w:ind w:firstLine="480"/>
        <w:jc w:val="left"/>
        <w:rPr>
          <w:rFonts w:ascii="宋体" w:hAnsi="宋体"/>
          <w:kern w:val="0"/>
          <w:sz w:val="24"/>
        </w:rPr>
      </w:pPr>
      <w:r>
        <w:rPr>
          <w:rFonts w:ascii="宋体" w:hAnsi="宋体"/>
          <w:kern w:val="0"/>
          <w:sz w:val="24"/>
        </w:rPr>
        <w:t>1.1.5.4 暂估价：是指发包人在工程量清单或预算书中提供的用于支付必然发生但暂时不能确定价格的材料、工程设备的单价</w:t>
      </w:r>
      <w:r>
        <w:rPr>
          <w:rFonts w:hint="eastAsia" w:ascii="宋体" w:hAnsi="宋体"/>
          <w:kern w:val="0"/>
          <w:sz w:val="24"/>
        </w:rPr>
        <w:t>、</w:t>
      </w:r>
      <w:r>
        <w:rPr>
          <w:rFonts w:ascii="宋体" w:hAnsi="宋体"/>
          <w:kern w:val="0"/>
          <w:sz w:val="24"/>
        </w:rPr>
        <w:t>专业工程以及</w:t>
      </w:r>
      <w:r>
        <w:rPr>
          <w:rFonts w:hint="eastAsia" w:ascii="宋体" w:hAnsi="宋体"/>
          <w:kern w:val="0"/>
          <w:sz w:val="24"/>
        </w:rPr>
        <w:t>服务工作</w:t>
      </w:r>
      <w:r>
        <w:rPr>
          <w:rFonts w:ascii="宋体" w:hAnsi="宋体"/>
          <w:kern w:val="0"/>
          <w:sz w:val="24"/>
        </w:rPr>
        <w:t>的金额。</w:t>
      </w:r>
    </w:p>
    <w:p>
      <w:pPr>
        <w:spacing w:line="360" w:lineRule="exact"/>
        <w:ind w:firstLine="480"/>
        <w:jc w:val="left"/>
        <w:rPr>
          <w:rFonts w:ascii="宋体" w:hAnsi="宋体"/>
          <w:kern w:val="0"/>
          <w:sz w:val="24"/>
        </w:rPr>
      </w:pPr>
      <w:r>
        <w:rPr>
          <w:rFonts w:ascii="宋体" w:hAnsi="宋体"/>
          <w:kern w:val="0"/>
          <w:sz w:val="24"/>
        </w:rPr>
        <w:t>1.1.5.5 暂列金额：是指发包人在工程量清单或预算书中暂定并包括在合同价格中的一笔款项</w:t>
      </w:r>
      <w:r>
        <w:rPr>
          <w:rFonts w:hint="eastAsia" w:ascii="宋体" w:hAnsi="宋体"/>
          <w:kern w:val="0"/>
          <w:sz w:val="24"/>
        </w:rPr>
        <w:t>，</w:t>
      </w:r>
      <w:r>
        <w:rPr>
          <w:rFonts w:ascii="宋体" w:hAnsi="宋体"/>
          <w:kern w:val="0"/>
          <w:sz w:val="24"/>
        </w:rPr>
        <w:t>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exact"/>
        <w:ind w:firstLine="480"/>
        <w:jc w:val="left"/>
        <w:rPr>
          <w:rFonts w:ascii="宋体" w:hAnsi="宋体"/>
          <w:kern w:val="0"/>
          <w:sz w:val="24"/>
        </w:rPr>
      </w:pPr>
      <w:r>
        <w:rPr>
          <w:rFonts w:ascii="宋体" w:hAnsi="宋体"/>
          <w:kern w:val="0"/>
          <w:sz w:val="24"/>
        </w:rPr>
        <w:t>1.1.5.6 计日工：是指合同履行过程中，承包人完成发包人提出的零星工作或需要采用计日工计价的变更工作时，按合同中约定的单价计价的一种方式。</w:t>
      </w:r>
    </w:p>
    <w:p>
      <w:pPr>
        <w:spacing w:line="360" w:lineRule="exact"/>
        <w:ind w:firstLine="480"/>
        <w:jc w:val="left"/>
        <w:rPr>
          <w:rFonts w:ascii="宋体" w:hAnsi="宋体"/>
          <w:sz w:val="24"/>
        </w:rPr>
      </w:pPr>
      <w:r>
        <w:rPr>
          <w:rFonts w:ascii="宋体" w:hAnsi="宋体"/>
          <w:kern w:val="0"/>
          <w:sz w:val="24"/>
        </w:rPr>
        <w:t>1.1.5.7 质量保证金</w:t>
      </w:r>
      <w:bookmarkStart w:id="50" w:name="#go2"/>
      <w:bookmarkEnd w:id="50"/>
      <w:r>
        <w:rPr>
          <w:rFonts w:ascii="宋体" w:hAnsi="宋体"/>
          <w:kern w:val="0"/>
          <w:sz w:val="24"/>
        </w:rPr>
        <w:t>：是指按照第15.3款</w:t>
      </w:r>
      <w:r>
        <w:rPr>
          <w:rFonts w:hint="eastAsia" w:ascii="宋体" w:hAnsi="宋体"/>
          <w:kern w:val="0"/>
          <w:sz w:val="24"/>
        </w:rPr>
        <w:t>〔</w:t>
      </w:r>
      <w:r>
        <w:rPr>
          <w:rFonts w:ascii="宋体" w:hAnsi="宋体"/>
          <w:kern w:val="0"/>
          <w:sz w:val="24"/>
        </w:rPr>
        <w:t>质量保证金</w:t>
      </w:r>
      <w:r>
        <w:rPr>
          <w:rFonts w:hint="eastAsia" w:ascii="宋体" w:hAnsi="宋体"/>
          <w:kern w:val="0"/>
          <w:sz w:val="24"/>
        </w:rPr>
        <w:t>〕</w:t>
      </w:r>
      <w:r>
        <w:rPr>
          <w:rFonts w:ascii="宋体" w:hAnsi="宋体"/>
          <w:kern w:val="0"/>
          <w:sz w:val="24"/>
        </w:rPr>
        <w:t>约定承包人用于保证其在缺陷责任期内履行缺陷修补义务的担保</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1.1.5.8 总价项目：是指在现行国家、行业以及地方的计量规则中无工程量计算规则，在已标价工程量清单或预算书中以总价或以费率形式计算的项目。</w:t>
      </w:r>
    </w:p>
    <w:p>
      <w:pPr>
        <w:spacing w:line="360" w:lineRule="exact"/>
        <w:ind w:firstLine="480"/>
        <w:jc w:val="left"/>
        <w:rPr>
          <w:rFonts w:ascii="宋体" w:hAnsi="宋体"/>
          <w:sz w:val="24"/>
        </w:rPr>
      </w:pPr>
      <w:r>
        <w:rPr>
          <w:rFonts w:ascii="宋体" w:hAnsi="宋体"/>
          <w:sz w:val="24"/>
        </w:rPr>
        <w:t>1.1.6 其他</w:t>
      </w:r>
    </w:p>
    <w:p>
      <w:pPr>
        <w:spacing w:line="360" w:lineRule="exact"/>
        <w:ind w:firstLine="480"/>
        <w:jc w:val="left"/>
        <w:rPr>
          <w:rFonts w:ascii="宋体" w:hAnsi="宋体"/>
          <w:sz w:val="24"/>
        </w:rPr>
      </w:pPr>
      <w:r>
        <w:rPr>
          <w:rFonts w:ascii="宋体" w:hAnsi="宋体"/>
          <w:sz w:val="24"/>
        </w:rPr>
        <w:t>1.1.6.1 书面形式：是指合同文件、信函、电报、传真等可以有形地表现所载内容的形式。</w:t>
      </w:r>
    </w:p>
    <w:p>
      <w:pPr>
        <w:pStyle w:val="7"/>
        <w:ind w:firstLine="420"/>
      </w:pPr>
      <w:bookmarkStart w:id="51" w:name="_Toc296503029"/>
      <w:bookmarkStart w:id="52" w:name="_Toc18683137"/>
      <w:bookmarkStart w:id="53" w:name="_Toc296346530"/>
      <w:bookmarkStart w:id="54" w:name="_Toc337558729"/>
      <w:r>
        <w:t>1.2语言文字</w:t>
      </w:r>
      <w:bookmarkEnd w:id="51"/>
      <w:bookmarkEnd w:id="52"/>
      <w:bookmarkEnd w:id="53"/>
      <w:bookmarkEnd w:id="5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合同以中国的汉语简体文字编写、解释和说明。合同当事人在专用合同条款中约定使用两种以上语言时，汉语为优先解释和说明合同的语言。</w:t>
      </w:r>
    </w:p>
    <w:p>
      <w:pPr>
        <w:pStyle w:val="7"/>
        <w:spacing w:before="120" w:after="120"/>
        <w:ind w:firstLine="420"/>
        <w:rPr>
          <w:bCs w:val="0"/>
          <w:szCs w:val="24"/>
        </w:rPr>
      </w:pPr>
      <w:bookmarkStart w:id="55" w:name="_Toc296346531"/>
      <w:bookmarkStart w:id="56" w:name="_Toc296503030"/>
      <w:bookmarkStart w:id="57" w:name="_Toc18683138"/>
      <w:bookmarkStart w:id="58" w:name="_Toc337558730"/>
      <w:r>
        <w:rPr>
          <w:bCs w:val="0"/>
          <w:szCs w:val="24"/>
        </w:rPr>
        <w:t>1.3法律</w:t>
      </w:r>
      <w:bookmarkEnd w:id="55"/>
      <w:bookmarkEnd w:id="56"/>
      <w:bookmarkEnd w:id="57"/>
      <w:bookmarkEnd w:id="58"/>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合同当事人可以在专用合同条款中约定合同适用的其他规范性文件。</w:t>
      </w:r>
    </w:p>
    <w:p>
      <w:pPr>
        <w:pStyle w:val="7"/>
        <w:spacing w:before="120" w:after="120"/>
        <w:ind w:firstLine="420"/>
        <w:rPr>
          <w:bCs w:val="0"/>
          <w:szCs w:val="24"/>
        </w:rPr>
      </w:pPr>
      <w:bookmarkStart w:id="59" w:name="_Toc18683139"/>
      <w:r>
        <w:rPr>
          <w:bCs w:val="0"/>
          <w:szCs w:val="24"/>
        </w:rPr>
        <w:t>1.4 标准和规范</w:t>
      </w:r>
      <w:bookmarkEnd w:id="59"/>
    </w:p>
    <w:p>
      <w:pPr>
        <w:spacing w:line="360" w:lineRule="exact"/>
        <w:ind w:firstLine="480"/>
        <w:jc w:val="left"/>
        <w:rPr>
          <w:rFonts w:ascii="宋体" w:hAnsi="宋体"/>
          <w:kern w:val="0"/>
          <w:sz w:val="24"/>
        </w:rPr>
      </w:pPr>
      <w:r>
        <w:rPr>
          <w:rFonts w:ascii="宋体" w:hAnsi="宋体"/>
          <w:kern w:val="0"/>
          <w:sz w:val="24"/>
        </w:rPr>
        <w:t>1.4.1 适用于工程的国家标准、行业标准、工程所在地的地方性标准，以及相应的规范、规程等，合同当事人有特别要求的，应在专用合同条款中约定。</w:t>
      </w:r>
    </w:p>
    <w:p>
      <w:pPr>
        <w:spacing w:line="360" w:lineRule="exact"/>
        <w:ind w:firstLine="480"/>
        <w:jc w:val="left"/>
        <w:rPr>
          <w:rFonts w:ascii="宋体" w:hAnsi="宋体"/>
          <w:kern w:val="0"/>
          <w:sz w:val="24"/>
        </w:rPr>
      </w:pPr>
      <w:r>
        <w:rPr>
          <w:rFonts w:ascii="宋体" w:hAnsi="宋体"/>
          <w:kern w:val="0"/>
          <w:sz w:val="24"/>
        </w:rPr>
        <w:t>1.4.2 发包人要求使用国外标准、规范的，发包人负责提供原文版本和中文译本，并在专用合同条款中约定提供标准规范的名称、份数和时间。</w:t>
      </w:r>
    </w:p>
    <w:p>
      <w:pPr>
        <w:spacing w:line="360" w:lineRule="exact"/>
        <w:ind w:firstLine="480"/>
        <w:jc w:val="left"/>
        <w:rPr>
          <w:rFonts w:ascii="宋体" w:hAnsi="宋体"/>
          <w:kern w:val="0"/>
          <w:sz w:val="24"/>
        </w:rPr>
      </w:pPr>
      <w:r>
        <w:rPr>
          <w:rFonts w:ascii="宋体" w:hAnsi="宋体"/>
          <w:kern w:val="0"/>
          <w:sz w:val="24"/>
        </w:rPr>
        <w:t>1.4.3 发包人对工程的技术标准、功能要求高于或严于现行国家、行业或地方标准的，应当在专用合同条款中予以明确。除专用合同条款另有约定外，应视为</w:t>
      </w:r>
      <w:r>
        <w:rPr>
          <w:rFonts w:hint="eastAsia" w:ascii="宋体" w:hAnsi="宋体"/>
          <w:kern w:val="0"/>
          <w:sz w:val="24"/>
        </w:rPr>
        <w:t>承包人</w:t>
      </w:r>
      <w:r>
        <w:rPr>
          <w:rFonts w:ascii="宋体" w:hAnsi="宋体"/>
          <w:kern w:val="0"/>
          <w:sz w:val="24"/>
        </w:rPr>
        <w:t>在签订合同前已充分预见前述技术标准和功能要求的复杂程度，签约合同价中已包含由此产生的费用。</w:t>
      </w:r>
    </w:p>
    <w:p>
      <w:pPr>
        <w:pStyle w:val="7"/>
        <w:spacing w:before="120" w:after="120"/>
        <w:ind w:firstLine="420"/>
        <w:rPr>
          <w:bCs w:val="0"/>
          <w:szCs w:val="24"/>
        </w:rPr>
      </w:pPr>
      <w:bookmarkStart w:id="60" w:name="_Toc18683140"/>
      <w:r>
        <w:rPr>
          <w:bCs w:val="0"/>
          <w:szCs w:val="24"/>
        </w:rPr>
        <w:t>1</w:t>
      </w:r>
      <w:bookmarkStart w:id="61" w:name="_Toc296503031"/>
      <w:bookmarkStart w:id="62" w:name="_Toc337558731"/>
      <w:bookmarkStart w:id="63" w:name="_Toc296346532"/>
      <w:r>
        <w:rPr>
          <w:bCs w:val="0"/>
          <w:szCs w:val="24"/>
        </w:rPr>
        <w:t>.5 合同文件的优先顺序</w:t>
      </w:r>
      <w:bookmarkEnd w:id="60"/>
    </w:p>
    <w:bookmarkEnd w:id="61"/>
    <w:bookmarkEnd w:id="62"/>
    <w:bookmarkEnd w:id="63"/>
    <w:p>
      <w:pPr>
        <w:autoSpaceDE w:val="0"/>
        <w:autoSpaceDN w:val="0"/>
        <w:adjustRightInd w:val="0"/>
        <w:spacing w:line="360" w:lineRule="exact"/>
        <w:ind w:firstLine="480"/>
        <w:jc w:val="left"/>
        <w:rPr>
          <w:rFonts w:ascii="宋体" w:hAnsi="宋体"/>
          <w:kern w:val="0"/>
          <w:sz w:val="24"/>
        </w:rPr>
      </w:pPr>
      <w:r>
        <w:rPr>
          <w:rFonts w:ascii="宋体" w:hAnsi="宋体"/>
          <w:kern w:val="0"/>
          <w:sz w:val="24"/>
        </w:rPr>
        <w:t>组成合同的各项文件应互相解释，互为说明。除专用合同条款另有约定外，解释合同文件的优先顺序如下：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（1）合同协议书；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（2）中标通知书（如果有）；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（3）投标函及其附录（如果有）；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（4）专用合同条款</w:t>
      </w:r>
      <w:r>
        <w:rPr>
          <w:rFonts w:ascii="宋体" w:hAnsi="宋体"/>
          <w:sz w:val="24"/>
        </w:rPr>
        <w:t>及其附件</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（5）通用合同条款；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（6）技术标准和要求；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（7）图纸；</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（8）已标价工程量清单或预算书；</w:t>
      </w:r>
    </w:p>
    <w:p>
      <w:pPr>
        <w:autoSpaceDE w:val="0"/>
        <w:autoSpaceDN w:val="0"/>
        <w:adjustRightInd w:val="0"/>
        <w:spacing w:line="360" w:lineRule="exact"/>
        <w:ind w:firstLine="480"/>
        <w:jc w:val="left"/>
        <w:rPr>
          <w:rFonts w:ascii="宋体" w:hAnsi="宋体"/>
          <w:sz w:val="24"/>
        </w:rPr>
      </w:pPr>
      <w:r>
        <w:rPr>
          <w:rFonts w:ascii="宋体" w:hAnsi="宋体"/>
          <w:kern w:val="0"/>
          <w:sz w:val="24"/>
        </w:rPr>
        <w:t>（9）其他合同文件。</w:t>
      </w:r>
    </w:p>
    <w:p>
      <w:pPr>
        <w:spacing w:line="360" w:lineRule="exact"/>
        <w:ind w:firstLine="511" w:firstLineChars="213"/>
        <w:rPr>
          <w:rFonts w:ascii="宋体" w:hAnsi="宋体"/>
          <w:sz w:val="24"/>
        </w:rPr>
      </w:pPr>
      <w:r>
        <w:rPr>
          <w:rFonts w:ascii="宋体" w:hAnsi="宋体"/>
          <w:sz w:val="24"/>
        </w:rPr>
        <w:t>上述各项合同文件包括合同当事人就该项合同文件所作出的补充和修改，属于同一类内容的文件，应以最新签署的为准。</w:t>
      </w:r>
    </w:p>
    <w:p>
      <w:pPr>
        <w:spacing w:line="360" w:lineRule="exact"/>
        <w:ind w:firstLine="511" w:firstLineChars="213"/>
        <w:rPr>
          <w:rFonts w:ascii="宋体" w:hAnsi="宋体"/>
          <w:sz w:val="24"/>
        </w:rPr>
      </w:pPr>
      <w:r>
        <w:rPr>
          <w:rFonts w:ascii="宋体" w:hAnsi="宋体"/>
          <w:sz w:val="24"/>
        </w:rPr>
        <w:t>在合同订立及履行过程中形成的与合同有关的文件均构成合同文件组成部分，并根据其性质确定优先解释顺序。</w:t>
      </w:r>
    </w:p>
    <w:p>
      <w:pPr>
        <w:pStyle w:val="7"/>
        <w:spacing w:before="120" w:after="120"/>
        <w:ind w:firstLine="420"/>
        <w:rPr>
          <w:bCs w:val="0"/>
          <w:szCs w:val="24"/>
        </w:rPr>
      </w:pPr>
      <w:bookmarkStart w:id="64" w:name="_Toc18683141"/>
      <w:r>
        <w:rPr>
          <w:bCs w:val="0"/>
          <w:szCs w:val="24"/>
        </w:rPr>
        <w:t>1</w:t>
      </w:r>
      <w:bookmarkStart w:id="65" w:name="_Toc296503032"/>
      <w:bookmarkStart w:id="66" w:name="_Toc296346533"/>
      <w:bookmarkStart w:id="67" w:name="_Toc337558732"/>
      <w:r>
        <w:rPr>
          <w:bCs w:val="0"/>
          <w:szCs w:val="24"/>
        </w:rPr>
        <w:t>.6图纸和承包人文件</w:t>
      </w:r>
      <w:bookmarkEnd w:id="64"/>
    </w:p>
    <w:bookmarkEnd w:id="65"/>
    <w:bookmarkEnd w:id="66"/>
    <w:bookmarkEnd w:id="67"/>
    <w:p>
      <w:pPr>
        <w:spacing w:line="360" w:lineRule="exact"/>
        <w:ind w:firstLine="480"/>
        <w:jc w:val="left"/>
        <w:rPr>
          <w:rFonts w:ascii="宋体" w:hAnsi="宋体"/>
          <w:kern w:val="0"/>
          <w:sz w:val="24"/>
        </w:rPr>
      </w:pPr>
      <w:r>
        <w:rPr>
          <w:rFonts w:ascii="宋体" w:hAnsi="宋体"/>
          <w:kern w:val="0"/>
          <w:sz w:val="24"/>
        </w:rPr>
        <w:t>1.6.1 图纸的提供和交底</w:t>
      </w:r>
    </w:p>
    <w:p>
      <w:pPr>
        <w:spacing w:line="360" w:lineRule="exact"/>
        <w:ind w:firstLine="480"/>
        <w:jc w:val="left"/>
        <w:rPr>
          <w:rFonts w:ascii="宋体" w:hAnsi="宋体"/>
          <w:kern w:val="0"/>
          <w:sz w:val="24"/>
        </w:rPr>
      </w:pPr>
      <w:r>
        <w:rPr>
          <w:rFonts w:ascii="宋体" w:hAnsi="宋体"/>
          <w:kern w:val="0"/>
          <w:sz w:val="24"/>
        </w:rPr>
        <w:t>发包人应按照专用合同条款约定的期限、数量和内容向承包人免费提供图纸，并组织承包人、监理人和设计人进行图纸会审和设计交底。发包人至迟不得晚于第7.3.2项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载明的开工日期前14天向承包人提供图纸。</w:t>
      </w:r>
    </w:p>
    <w:p>
      <w:pPr>
        <w:spacing w:line="360" w:lineRule="exact"/>
        <w:ind w:firstLine="480"/>
        <w:jc w:val="left"/>
        <w:rPr>
          <w:rFonts w:ascii="宋体" w:hAnsi="宋体"/>
          <w:kern w:val="0"/>
          <w:sz w:val="24"/>
        </w:rPr>
      </w:pPr>
      <w:r>
        <w:rPr>
          <w:rFonts w:ascii="宋体" w:hAnsi="宋体"/>
          <w:kern w:val="0"/>
          <w:sz w:val="24"/>
        </w:rPr>
        <w:t>因发包人未按合同约定提供图纸导致承包人费用增加和（或）工期延误的，按照第7.5.1项</w:t>
      </w:r>
      <w:r>
        <w:rPr>
          <w:rFonts w:hint="eastAsia" w:ascii="宋体" w:hAnsi="宋体"/>
          <w:kern w:val="0"/>
          <w:sz w:val="24"/>
        </w:rPr>
        <w:t>〔</w:t>
      </w:r>
      <w:r>
        <w:rPr>
          <w:rFonts w:ascii="宋体" w:hAnsi="宋体"/>
          <w:kern w:val="0"/>
          <w:sz w:val="24"/>
        </w:rPr>
        <w:t>因发包人原因导致工期延误</w:t>
      </w:r>
      <w:r>
        <w:rPr>
          <w:rFonts w:hint="eastAsia" w:ascii="宋体" w:hAnsi="宋体"/>
          <w:kern w:val="0"/>
          <w:sz w:val="24"/>
        </w:rPr>
        <w:t>〕</w:t>
      </w:r>
      <w:r>
        <w:rPr>
          <w:rFonts w:ascii="宋体" w:hAnsi="宋体"/>
          <w:kern w:val="0"/>
          <w:sz w:val="24"/>
        </w:rPr>
        <w:t>约定办理。</w:t>
      </w:r>
    </w:p>
    <w:p>
      <w:pPr>
        <w:spacing w:line="360" w:lineRule="exact"/>
        <w:ind w:firstLine="480"/>
        <w:jc w:val="left"/>
        <w:rPr>
          <w:rFonts w:ascii="宋体" w:hAnsi="宋体"/>
          <w:kern w:val="0"/>
          <w:sz w:val="24"/>
        </w:rPr>
      </w:pPr>
      <w:r>
        <w:rPr>
          <w:rFonts w:ascii="宋体" w:hAnsi="宋体"/>
          <w:kern w:val="0"/>
          <w:sz w:val="24"/>
        </w:rPr>
        <w:t>1.6.2 图纸的错误</w:t>
      </w:r>
    </w:p>
    <w:p>
      <w:pPr>
        <w:spacing w:line="360" w:lineRule="exact"/>
        <w:ind w:firstLine="480"/>
        <w:jc w:val="left"/>
        <w:rPr>
          <w:rFonts w:ascii="宋体" w:hAnsi="宋体"/>
          <w:kern w:val="0"/>
          <w:sz w:val="24"/>
        </w:rPr>
      </w:pPr>
      <w:r>
        <w:rPr>
          <w:rFonts w:ascii="宋体" w:hAnsi="宋体"/>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kern w:val="0"/>
          <w:sz w:val="24"/>
        </w:rPr>
        <w:t>合理时间是指发包人在收到监理人的报送通知后，尽其努力且不懈怠地完成图纸修改补充所需的时间。</w:t>
      </w:r>
    </w:p>
    <w:p>
      <w:pPr>
        <w:spacing w:line="360" w:lineRule="exact"/>
        <w:ind w:firstLine="480"/>
        <w:jc w:val="left"/>
        <w:rPr>
          <w:rFonts w:ascii="宋体" w:hAnsi="宋体"/>
          <w:kern w:val="0"/>
          <w:sz w:val="24"/>
        </w:rPr>
      </w:pPr>
      <w:r>
        <w:rPr>
          <w:rFonts w:ascii="宋体" w:hAnsi="宋体"/>
          <w:kern w:val="0"/>
          <w:sz w:val="24"/>
        </w:rPr>
        <w:t>1.6.3 图纸的修改和补充</w:t>
      </w:r>
    </w:p>
    <w:p>
      <w:pPr>
        <w:spacing w:line="360" w:lineRule="exact"/>
        <w:ind w:firstLine="480"/>
        <w:jc w:val="left"/>
        <w:rPr>
          <w:rFonts w:ascii="宋体" w:hAnsi="宋体"/>
          <w:kern w:val="0"/>
          <w:sz w:val="24"/>
        </w:rPr>
      </w:pPr>
      <w:r>
        <w:rPr>
          <w:rFonts w:ascii="宋体" w:hAnsi="宋体"/>
          <w:kern w:val="0"/>
          <w:sz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exact"/>
        <w:ind w:firstLine="480"/>
        <w:jc w:val="left"/>
        <w:rPr>
          <w:rFonts w:ascii="宋体" w:hAnsi="宋体"/>
          <w:kern w:val="0"/>
          <w:sz w:val="24"/>
        </w:rPr>
      </w:pPr>
      <w:r>
        <w:rPr>
          <w:rFonts w:ascii="宋体" w:hAnsi="宋体"/>
          <w:kern w:val="0"/>
          <w:sz w:val="24"/>
        </w:rPr>
        <w:t>1.6.4 承包人文件</w:t>
      </w:r>
    </w:p>
    <w:p>
      <w:pPr>
        <w:spacing w:line="360" w:lineRule="exact"/>
        <w:ind w:firstLine="480"/>
        <w:jc w:val="left"/>
        <w:rPr>
          <w:rFonts w:ascii="宋体" w:hAnsi="宋体"/>
          <w:kern w:val="0"/>
          <w:sz w:val="24"/>
        </w:rPr>
      </w:pPr>
      <w:r>
        <w:rPr>
          <w:rFonts w:ascii="宋体" w:hAnsi="宋体"/>
          <w:kern w:val="0"/>
          <w:sz w:val="24"/>
        </w:rPr>
        <w:t>承包人应按照专用合同条款的约定提供应当由其编制的与工程施工有关的文件，并按照专用合同条款约定的期限、数量和形式提交监理人，并由监理人报送发包人。</w:t>
      </w:r>
    </w:p>
    <w:p>
      <w:pPr>
        <w:spacing w:line="360" w:lineRule="exact"/>
        <w:ind w:firstLine="480"/>
        <w:jc w:val="left"/>
        <w:rPr>
          <w:rFonts w:ascii="宋体" w:hAnsi="宋体"/>
          <w:kern w:val="0"/>
          <w:sz w:val="24"/>
        </w:rPr>
      </w:pPr>
      <w:r>
        <w:rPr>
          <w:rFonts w:ascii="宋体" w:hAnsi="宋体"/>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exact"/>
        <w:ind w:firstLine="480"/>
        <w:jc w:val="left"/>
        <w:rPr>
          <w:rFonts w:ascii="宋体" w:hAnsi="宋体"/>
          <w:kern w:val="0"/>
          <w:sz w:val="24"/>
        </w:rPr>
      </w:pPr>
      <w:r>
        <w:rPr>
          <w:rFonts w:ascii="宋体" w:hAnsi="宋体"/>
          <w:kern w:val="0"/>
          <w:sz w:val="24"/>
        </w:rPr>
        <w:t>1.6.5 图纸和承包人文件的保管</w:t>
      </w:r>
    </w:p>
    <w:p>
      <w:pPr>
        <w:spacing w:line="360" w:lineRule="exact"/>
        <w:ind w:firstLine="480"/>
        <w:jc w:val="left"/>
        <w:rPr>
          <w:rFonts w:ascii="宋体" w:hAnsi="宋体"/>
          <w:kern w:val="0"/>
          <w:sz w:val="24"/>
        </w:rPr>
      </w:pPr>
      <w:r>
        <w:rPr>
          <w:rFonts w:ascii="宋体" w:hAnsi="宋体"/>
          <w:kern w:val="0"/>
          <w:sz w:val="24"/>
        </w:rPr>
        <w:t>除专用合同条款另有约定外，承包人应在施工现场另外保存一套完整的图纸和承包人文件，供发包人、监理人及有关人员进行工程检查时使用。</w:t>
      </w:r>
    </w:p>
    <w:p>
      <w:pPr>
        <w:pStyle w:val="7"/>
        <w:spacing w:before="120" w:after="120"/>
        <w:ind w:firstLine="420"/>
        <w:rPr>
          <w:bCs w:val="0"/>
          <w:szCs w:val="24"/>
        </w:rPr>
      </w:pPr>
      <w:bookmarkStart w:id="68" w:name="_Toc18683142"/>
      <w:r>
        <w:rPr>
          <w:bCs w:val="0"/>
          <w:szCs w:val="24"/>
        </w:rPr>
        <w:t>1</w:t>
      </w:r>
      <w:bookmarkStart w:id="69" w:name="_Toc296346534"/>
      <w:bookmarkStart w:id="70" w:name="_Toc337558733"/>
      <w:bookmarkStart w:id="71" w:name="_Toc296503033"/>
      <w:r>
        <w:rPr>
          <w:bCs w:val="0"/>
          <w:szCs w:val="24"/>
        </w:rPr>
        <w:t>.7联络</w:t>
      </w:r>
      <w:bookmarkEnd w:id="68"/>
    </w:p>
    <w:bookmarkEnd w:id="69"/>
    <w:bookmarkEnd w:id="70"/>
    <w:bookmarkEnd w:id="71"/>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1.7.3 发包人和承包人应当及时签收另一方送达至送达地点和指定接收人的来往信函。拒不签收的，由此增加的费用和（或）延误的工期由拒绝接收一方承担。</w:t>
      </w:r>
    </w:p>
    <w:p>
      <w:pPr>
        <w:pStyle w:val="7"/>
        <w:spacing w:before="120" w:after="120"/>
        <w:ind w:firstLine="420"/>
        <w:rPr>
          <w:bCs w:val="0"/>
          <w:szCs w:val="24"/>
        </w:rPr>
      </w:pPr>
      <w:bookmarkStart w:id="72" w:name="_Toc18683143"/>
      <w:r>
        <w:rPr>
          <w:bCs w:val="0"/>
          <w:szCs w:val="24"/>
        </w:rPr>
        <w:t>1</w:t>
      </w:r>
      <w:bookmarkStart w:id="73" w:name="_Toc337558734"/>
      <w:bookmarkStart w:id="74" w:name="_Toc296503035"/>
      <w:bookmarkStart w:id="75" w:name="_Toc296346536"/>
      <w:r>
        <w:rPr>
          <w:bCs w:val="0"/>
          <w:szCs w:val="24"/>
        </w:rPr>
        <w:t>.8严禁贿赂</w:t>
      </w:r>
      <w:bookmarkEnd w:id="72"/>
    </w:p>
    <w:bookmarkEnd w:id="73"/>
    <w:bookmarkEnd w:id="74"/>
    <w:bookmarkEnd w:id="75"/>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120" w:after="120"/>
        <w:ind w:firstLine="420"/>
        <w:rPr>
          <w:bCs w:val="0"/>
          <w:szCs w:val="24"/>
        </w:rPr>
      </w:pPr>
      <w:bookmarkStart w:id="76" w:name="_Toc18683144"/>
      <w:r>
        <w:rPr>
          <w:bCs w:val="0"/>
          <w:szCs w:val="24"/>
        </w:rPr>
        <w:t>1</w:t>
      </w:r>
      <w:bookmarkStart w:id="77" w:name="_Toc296503036"/>
      <w:bookmarkStart w:id="78" w:name="_Toc296346537"/>
      <w:bookmarkStart w:id="79" w:name="_Toc337558735"/>
      <w:r>
        <w:rPr>
          <w:bCs w:val="0"/>
          <w:szCs w:val="24"/>
        </w:rPr>
        <w:t>.9化石、文物</w:t>
      </w:r>
      <w:bookmarkEnd w:id="76"/>
    </w:p>
    <w:bookmarkEnd w:id="77"/>
    <w:bookmarkEnd w:id="78"/>
    <w:bookmarkEnd w:id="7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发包人、监理人和承包人应按有关政府行政管理部门要求采取妥善的保护措施，由此增加的费用和</w:t>
      </w:r>
      <w:r>
        <w:rPr>
          <w:rFonts w:hint="eastAsia" w:ascii="宋体" w:hAnsi="宋体"/>
          <w:kern w:val="0"/>
          <w:sz w:val="24"/>
        </w:rPr>
        <w:t>（</w:t>
      </w:r>
      <w:r>
        <w:rPr>
          <w:rFonts w:ascii="宋体" w:hAnsi="宋体"/>
          <w:kern w:val="0"/>
          <w:sz w:val="24"/>
        </w:rPr>
        <w:t>或）延误的工期由发包人承担。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承包人发现文物后不及时报告或隐瞒不报，致使文物丢失或损坏的，应赔偿损失，并承担相应的法律责任。</w:t>
      </w:r>
    </w:p>
    <w:p>
      <w:pPr>
        <w:pStyle w:val="7"/>
        <w:spacing w:before="120" w:after="120"/>
        <w:ind w:firstLine="420"/>
        <w:rPr>
          <w:bCs w:val="0"/>
          <w:szCs w:val="24"/>
        </w:rPr>
      </w:pPr>
      <w:bookmarkStart w:id="80" w:name="_Toc18683145"/>
      <w:r>
        <w:rPr>
          <w:bCs w:val="0"/>
          <w:szCs w:val="24"/>
        </w:rPr>
        <w:t>1</w:t>
      </w:r>
      <w:bookmarkStart w:id="81" w:name="_Toc337558736"/>
      <w:r>
        <w:rPr>
          <w:bCs w:val="0"/>
          <w:szCs w:val="24"/>
        </w:rPr>
        <w:t>.10交通运输</w:t>
      </w:r>
      <w:bookmarkEnd w:id="80"/>
    </w:p>
    <w:bookmarkEnd w:id="81"/>
    <w:p>
      <w:pPr>
        <w:spacing w:line="360" w:lineRule="exact"/>
        <w:ind w:firstLine="480"/>
        <w:jc w:val="left"/>
        <w:rPr>
          <w:rFonts w:ascii="宋体" w:hAnsi="宋体"/>
          <w:kern w:val="0"/>
          <w:sz w:val="24"/>
        </w:rPr>
      </w:pPr>
      <w:r>
        <w:rPr>
          <w:rFonts w:ascii="宋体" w:hAnsi="宋体"/>
          <w:kern w:val="0"/>
          <w:sz w:val="24"/>
        </w:rPr>
        <w:t>1.10.1出入现场的权利</w:t>
      </w:r>
    </w:p>
    <w:p>
      <w:pPr>
        <w:spacing w:line="360" w:lineRule="exact"/>
        <w:ind w:firstLine="480"/>
        <w:jc w:val="left"/>
        <w:rPr>
          <w:rFonts w:ascii="宋体" w:hAnsi="宋体"/>
          <w:kern w:val="0"/>
          <w:sz w:val="24"/>
        </w:rPr>
      </w:pPr>
      <w:r>
        <w:rPr>
          <w:rFonts w:ascii="宋体" w:hAnsi="宋体"/>
          <w:kern w:val="0"/>
          <w:sz w:val="24"/>
        </w:rPr>
        <w:t>除专用合同条款另有约定外，发包人应根据施工需要，负责取得出入施工现场所需的</w:t>
      </w:r>
      <w:r>
        <w:rPr>
          <w:rFonts w:hint="eastAsia" w:ascii="宋体" w:hAnsi="宋体"/>
          <w:kern w:val="0"/>
          <w:sz w:val="24"/>
        </w:rPr>
        <w:t>批准手续和</w:t>
      </w:r>
      <w:r>
        <w:rPr>
          <w:rFonts w:ascii="宋体" w:hAnsi="宋体"/>
          <w:kern w:val="0"/>
          <w:sz w:val="24"/>
        </w:rPr>
        <w:t>全部权利，以及取得因施工所需修建道路、桥梁以及其他基础设施的权利，并承担相关手续费用和建设费用。承包人应协助发包人办理修建场内外道路、桥梁以及其他基础设施的手续。</w:t>
      </w:r>
    </w:p>
    <w:p>
      <w:pPr>
        <w:spacing w:line="360" w:lineRule="exact"/>
        <w:ind w:firstLine="480"/>
        <w:jc w:val="left"/>
        <w:rPr>
          <w:rFonts w:ascii="宋体" w:hAnsi="宋体"/>
          <w:kern w:val="0"/>
          <w:sz w:val="24"/>
        </w:rPr>
      </w:pPr>
      <w:r>
        <w:rPr>
          <w:rFonts w:ascii="宋体" w:hAnsi="宋体"/>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1.10.2场外交通</w:t>
      </w:r>
    </w:p>
    <w:p>
      <w:pPr>
        <w:spacing w:line="360" w:lineRule="exact"/>
        <w:ind w:firstLine="480"/>
        <w:jc w:val="left"/>
        <w:rPr>
          <w:rFonts w:ascii="宋体" w:hAnsi="宋体"/>
          <w:kern w:val="0"/>
          <w:sz w:val="24"/>
        </w:rPr>
      </w:pPr>
      <w:r>
        <w:rPr>
          <w:rFonts w:ascii="宋体" w:hAnsi="宋体"/>
          <w:kern w:val="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exact"/>
        <w:ind w:firstLine="480"/>
        <w:jc w:val="left"/>
        <w:rPr>
          <w:rFonts w:ascii="宋体" w:hAnsi="宋体"/>
          <w:kern w:val="0"/>
          <w:sz w:val="24"/>
        </w:rPr>
      </w:pPr>
      <w:r>
        <w:rPr>
          <w:rFonts w:ascii="宋体" w:hAnsi="宋体"/>
          <w:kern w:val="0"/>
          <w:sz w:val="24"/>
        </w:rPr>
        <w:t>1.10.3场内交通</w:t>
      </w:r>
    </w:p>
    <w:p>
      <w:pPr>
        <w:spacing w:line="360" w:lineRule="exact"/>
        <w:ind w:firstLine="480"/>
        <w:jc w:val="left"/>
        <w:rPr>
          <w:rFonts w:ascii="宋体" w:hAnsi="宋体"/>
          <w:kern w:val="0"/>
          <w:sz w:val="24"/>
        </w:rPr>
      </w:pPr>
      <w:r>
        <w:rPr>
          <w:rFonts w:ascii="宋体" w:hAnsi="宋体"/>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exact"/>
        <w:ind w:firstLine="480"/>
        <w:jc w:val="left"/>
        <w:rPr>
          <w:rFonts w:ascii="宋体" w:hAnsi="宋体"/>
          <w:kern w:val="0"/>
          <w:sz w:val="24"/>
        </w:rPr>
      </w:pPr>
      <w:r>
        <w:rPr>
          <w:rFonts w:ascii="宋体" w:hAnsi="宋体"/>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exact"/>
        <w:ind w:firstLine="480"/>
        <w:jc w:val="left"/>
        <w:rPr>
          <w:rFonts w:ascii="宋体" w:hAnsi="宋体"/>
          <w:kern w:val="0"/>
          <w:sz w:val="24"/>
        </w:rPr>
      </w:pPr>
      <w:r>
        <w:rPr>
          <w:rFonts w:ascii="宋体" w:hAnsi="宋体"/>
          <w:kern w:val="0"/>
          <w:sz w:val="24"/>
        </w:rPr>
        <w:t>场外交通和场内交通的边界由合同当事人在专用合同条款中约定。</w:t>
      </w:r>
    </w:p>
    <w:p>
      <w:pPr>
        <w:spacing w:line="360" w:lineRule="exact"/>
        <w:ind w:firstLine="480"/>
        <w:jc w:val="left"/>
        <w:rPr>
          <w:rFonts w:ascii="宋体" w:hAnsi="宋体"/>
          <w:kern w:val="0"/>
          <w:sz w:val="24"/>
        </w:rPr>
      </w:pPr>
      <w:r>
        <w:rPr>
          <w:rFonts w:ascii="宋体" w:hAnsi="宋体"/>
          <w:kern w:val="0"/>
          <w:sz w:val="24"/>
        </w:rPr>
        <w:t>1.10.4超大件和超重件的运输</w:t>
      </w:r>
    </w:p>
    <w:p>
      <w:pPr>
        <w:spacing w:line="360" w:lineRule="exact"/>
        <w:ind w:firstLine="480"/>
        <w:jc w:val="left"/>
        <w:rPr>
          <w:rFonts w:ascii="宋体" w:hAnsi="宋体"/>
          <w:kern w:val="0"/>
          <w:sz w:val="24"/>
        </w:rPr>
      </w:pPr>
      <w:r>
        <w:rPr>
          <w:rFonts w:ascii="宋体" w:hAnsi="宋体"/>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exact"/>
        <w:ind w:firstLine="480"/>
        <w:jc w:val="left"/>
        <w:rPr>
          <w:rFonts w:ascii="宋体" w:hAnsi="宋体"/>
          <w:kern w:val="0"/>
          <w:sz w:val="24"/>
        </w:rPr>
      </w:pPr>
      <w:r>
        <w:rPr>
          <w:rFonts w:ascii="宋体" w:hAnsi="宋体"/>
          <w:kern w:val="0"/>
          <w:sz w:val="24"/>
        </w:rPr>
        <w:t>1.10.5道路和桥梁的损坏责任</w:t>
      </w:r>
    </w:p>
    <w:p>
      <w:pPr>
        <w:spacing w:line="360" w:lineRule="exact"/>
        <w:ind w:firstLine="480"/>
        <w:jc w:val="left"/>
        <w:rPr>
          <w:rFonts w:ascii="宋体" w:hAnsi="宋体"/>
          <w:kern w:val="0"/>
          <w:sz w:val="24"/>
        </w:rPr>
      </w:pPr>
      <w:r>
        <w:rPr>
          <w:rFonts w:ascii="宋体" w:hAnsi="宋体"/>
          <w:kern w:val="0"/>
          <w:sz w:val="24"/>
        </w:rPr>
        <w:t>因承包人运输造成施工场地内外公共道路和桥梁损坏的，由承包人承担修复损坏的全部费用和可能引起的赔偿。</w:t>
      </w:r>
    </w:p>
    <w:p>
      <w:pPr>
        <w:spacing w:line="360" w:lineRule="exact"/>
        <w:ind w:firstLine="480"/>
        <w:jc w:val="left"/>
        <w:rPr>
          <w:rFonts w:ascii="宋体" w:hAnsi="宋体"/>
          <w:kern w:val="0"/>
          <w:sz w:val="24"/>
        </w:rPr>
      </w:pPr>
      <w:r>
        <w:rPr>
          <w:rFonts w:ascii="宋体" w:hAnsi="宋体"/>
          <w:kern w:val="0"/>
          <w:sz w:val="24"/>
        </w:rPr>
        <w:t>1.10.6水路和航空运输</w:t>
      </w:r>
    </w:p>
    <w:p>
      <w:pPr>
        <w:spacing w:line="360" w:lineRule="exact"/>
        <w:ind w:firstLine="480"/>
        <w:jc w:val="left"/>
        <w:rPr>
          <w:rFonts w:ascii="宋体" w:hAnsi="宋体"/>
          <w:kern w:val="0"/>
          <w:sz w:val="24"/>
        </w:rPr>
      </w:pPr>
      <w:r>
        <w:rPr>
          <w:rFonts w:ascii="宋体" w:hAnsi="宋体"/>
          <w:kern w:val="0"/>
          <w:sz w:val="24"/>
        </w:rPr>
        <w:t>本</w:t>
      </w:r>
      <w:r>
        <w:rPr>
          <w:rFonts w:hint="eastAsia" w:ascii="宋体" w:hAnsi="宋体"/>
          <w:kern w:val="0"/>
          <w:sz w:val="24"/>
        </w:rPr>
        <w:t>款</w:t>
      </w:r>
      <w:r>
        <w:rPr>
          <w:rFonts w:ascii="宋体" w:hAnsi="宋体"/>
          <w:kern w:val="0"/>
          <w:sz w:val="24"/>
        </w:rPr>
        <w:t>前述各</w:t>
      </w:r>
      <w:r>
        <w:rPr>
          <w:rFonts w:hint="eastAsia" w:ascii="宋体" w:hAnsi="宋体"/>
          <w:kern w:val="0"/>
          <w:sz w:val="24"/>
        </w:rPr>
        <w:t>项</w:t>
      </w:r>
      <w:r>
        <w:rPr>
          <w:rFonts w:ascii="宋体" w:hAnsi="宋体"/>
          <w:kern w:val="0"/>
          <w:sz w:val="24"/>
        </w:rPr>
        <w:t>的内容适用于水路运输和航空运输，其中“道路”一词的涵义包括河道、航线、船闸、机场、码头、堤防以及水路或航空运输中其他相似结构物；“车辆”一词的涵义包括船舶和飞机等。</w:t>
      </w:r>
    </w:p>
    <w:p>
      <w:pPr>
        <w:pStyle w:val="7"/>
        <w:spacing w:before="120" w:after="120"/>
        <w:ind w:firstLine="420"/>
        <w:rPr>
          <w:bCs w:val="0"/>
          <w:szCs w:val="24"/>
        </w:rPr>
      </w:pPr>
      <w:bookmarkStart w:id="82" w:name="_Toc18683146"/>
      <w:r>
        <w:rPr>
          <w:bCs w:val="0"/>
          <w:szCs w:val="24"/>
        </w:rPr>
        <w:t>1</w:t>
      </w:r>
      <w:bookmarkStart w:id="83" w:name="_Toc337558737"/>
      <w:bookmarkStart w:id="84" w:name="_Toc296346538"/>
      <w:bookmarkStart w:id="85" w:name="_Toc296503037"/>
      <w:r>
        <w:rPr>
          <w:bCs w:val="0"/>
          <w:szCs w:val="24"/>
        </w:rPr>
        <w:t>.11知识产权</w:t>
      </w:r>
      <w:bookmarkEnd w:id="82"/>
      <w:bookmarkEnd w:id="83"/>
    </w:p>
    <w:bookmarkEnd w:id="84"/>
    <w:bookmarkEnd w:id="85"/>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exact"/>
        <w:ind w:firstLine="480"/>
        <w:rPr>
          <w:rFonts w:ascii="宋体" w:hAnsi="宋体"/>
          <w:sz w:val="24"/>
        </w:rPr>
      </w:pPr>
      <w:r>
        <w:rPr>
          <w:rFonts w:ascii="宋体" w:hAnsi="宋体"/>
          <w:sz w:val="24"/>
        </w:rPr>
        <w:t>1.11.4 除专用合同条款另有约定外，承包人在合同签订前和签订时已确定采用的专利、专有技术、技术秘密的使用费已包含在签约合同价中。</w:t>
      </w:r>
    </w:p>
    <w:p>
      <w:pPr>
        <w:pStyle w:val="7"/>
        <w:spacing w:before="120" w:after="120"/>
        <w:ind w:firstLine="420"/>
        <w:rPr>
          <w:bCs w:val="0"/>
          <w:szCs w:val="24"/>
        </w:rPr>
      </w:pPr>
      <w:bookmarkStart w:id="86" w:name="_Toc18683147"/>
      <w:r>
        <w:rPr>
          <w:bCs w:val="0"/>
          <w:szCs w:val="24"/>
        </w:rPr>
        <w:t>1</w:t>
      </w:r>
      <w:bookmarkStart w:id="87" w:name="_Toc337558738"/>
      <w:r>
        <w:rPr>
          <w:bCs w:val="0"/>
          <w:szCs w:val="24"/>
        </w:rPr>
        <w:t>.12保密</w:t>
      </w:r>
      <w:bookmarkEnd w:id="86"/>
    </w:p>
    <w:bookmarkEnd w:id="87"/>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除法律规定或合同另有约定外，未经承包人同意，发包人不得将承包人提供的技术秘密及声明需要保密的资料信息等商业秘密泄露给第三方。</w:t>
      </w:r>
    </w:p>
    <w:p>
      <w:pPr>
        <w:pStyle w:val="7"/>
        <w:spacing w:before="120" w:after="120"/>
        <w:ind w:firstLine="420"/>
        <w:rPr>
          <w:bCs w:val="0"/>
          <w:szCs w:val="24"/>
        </w:rPr>
      </w:pPr>
      <w:bookmarkStart w:id="88" w:name="_Toc18683148"/>
      <w:r>
        <w:rPr>
          <w:bCs w:val="0"/>
          <w:szCs w:val="24"/>
        </w:rPr>
        <w:t>1.13工程量清单错误的修正</w:t>
      </w:r>
      <w:bookmarkEnd w:id="88"/>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除专用合同条款另有约定外，</w:t>
      </w:r>
      <w:r>
        <w:rPr>
          <w:rFonts w:ascii="宋体" w:hAnsi="宋体"/>
          <w:kern w:val="0"/>
          <w:sz w:val="24"/>
        </w:rPr>
        <w:t>发包人提供的工程量清单，应被认为是准确的和完整的。出现下列情形之一时，发包人应予以修正，并相应调整合同价格：</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（1）工程量清单存在缺项、漏项的；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（2）工程量清单偏差超出专用合同条款约定的工程量偏差范围的；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（3）未按照国家现行计量规范强制性规定计量的。</w:t>
      </w:r>
    </w:p>
    <w:p>
      <w:pPr>
        <w:pStyle w:val="6"/>
        <w:ind w:left="103" w:leftChars="0" w:firstLineChars="0"/>
      </w:pPr>
      <w:bookmarkStart w:id="89" w:name="_Toc18683149"/>
      <w:r>
        <w:t>2</w:t>
      </w:r>
      <w:bookmarkStart w:id="90" w:name="_Toc337558739"/>
      <w:bookmarkStart w:id="91" w:name="_Toc296346539"/>
      <w:bookmarkStart w:id="92" w:name="_Toc296503038"/>
      <w:bookmarkStart w:id="93" w:name="OLE_LINK2"/>
      <w:bookmarkStart w:id="94" w:name="OLE_LINK1"/>
      <w:r>
        <w:t>. 发包人</w:t>
      </w:r>
      <w:bookmarkEnd w:id="89"/>
    </w:p>
    <w:bookmarkEnd w:id="90"/>
    <w:bookmarkEnd w:id="91"/>
    <w:bookmarkEnd w:id="92"/>
    <w:p>
      <w:pPr>
        <w:pStyle w:val="7"/>
        <w:spacing w:before="120" w:after="120"/>
        <w:ind w:firstLine="420"/>
        <w:rPr>
          <w:bCs w:val="0"/>
          <w:szCs w:val="24"/>
        </w:rPr>
      </w:pPr>
      <w:bookmarkStart w:id="95" w:name="_Toc18683150"/>
      <w:r>
        <w:rPr>
          <w:bCs w:val="0"/>
          <w:szCs w:val="24"/>
        </w:rPr>
        <w:t>2</w:t>
      </w:r>
      <w:bookmarkStart w:id="96" w:name="_Toc296503039"/>
      <w:bookmarkStart w:id="97" w:name="_Toc337558740"/>
      <w:bookmarkStart w:id="98" w:name="_Toc296346540"/>
      <w:r>
        <w:rPr>
          <w:bCs w:val="0"/>
          <w:szCs w:val="24"/>
        </w:rPr>
        <w:t>.1 许可或批准</w:t>
      </w:r>
      <w:bookmarkEnd w:id="95"/>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因发包人原因未能及时办理完毕前述许可、批准或备案，由发包人承担由此增加的费用和（或）延误的工期，并支付承包人合理的利润。</w:t>
      </w:r>
    </w:p>
    <w:p>
      <w:pPr>
        <w:pStyle w:val="7"/>
        <w:spacing w:before="120" w:after="120"/>
        <w:ind w:firstLine="420"/>
        <w:rPr>
          <w:bCs w:val="0"/>
          <w:szCs w:val="24"/>
        </w:rPr>
      </w:pPr>
      <w:bookmarkStart w:id="99" w:name="_Toc18683151"/>
      <w:r>
        <w:rPr>
          <w:bCs w:val="0"/>
          <w:szCs w:val="24"/>
        </w:rPr>
        <w:t>2.2 发包人代表</w:t>
      </w:r>
      <w:bookmarkEnd w:id="9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exact"/>
        <w:ind w:firstLine="480"/>
        <w:rPr>
          <w:rFonts w:ascii="宋体" w:hAnsi="宋体"/>
          <w:kern w:val="0"/>
          <w:sz w:val="24"/>
        </w:rPr>
      </w:pPr>
      <w:r>
        <w:rPr>
          <w:rFonts w:ascii="宋体" w:hAnsi="宋体"/>
          <w:kern w:val="0"/>
          <w:sz w:val="24"/>
        </w:rPr>
        <w:t>发包人代表不能按照合同约定履行其职责及义务，并导致合同无法继续正常履行的，承包人可以要求发包人撤换发包人代表。</w:t>
      </w:r>
    </w:p>
    <w:p>
      <w:pPr>
        <w:spacing w:line="360" w:lineRule="exact"/>
        <w:ind w:firstLine="480"/>
        <w:rPr>
          <w:rFonts w:ascii="宋体" w:hAnsi="宋体"/>
          <w:sz w:val="24"/>
        </w:rPr>
      </w:pPr>
      <w:r>
        <w:rPr>
          <w:rFonts w:hint="eastAsia" w:ascii="宋体" w:hAnsi="宋体"/>
          <w:kern w:val="0"/>
          <w:sz w:val="24"/>
        </w:rPr>
        <w:t>不属于法定必须监理的工程，监理人的职权可以由发包人代表或发包人指定的其他人员行使。</w:t>
      </w:r>
    </w:p>
    <w:p>
      <w:pPr>
        <w:pStyle w:val="7"/>
        <w:spacing w:before="120" w:after="120"/>
        <w:ind w:firstLine="420"/>
        <w:rPr>
          <w:bCs w:val="0"/>
          <w:szCs w:val="24"/>
        </w:rPr>
      </w:pPr>
      <w:bookmarkStart w:id="100" w:name="_Toc18683152"/>
      <w:r>
        <w:rPr>
          <w:bCs w:val="0"/>
          <w:szCs w:val="24"/>
        </w:rPr>
        <w:t>2.3 发包人人员</w:t>
      </w:r>
      <w:bookmarkEnd w:id="10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exact"/>
        <w:ind w:firstLine="480"/>
        <w:jc w:val="left"/>
        <w:rPr>
          <w:rFonts w:ascii="宋体" w:hAnsi="宋体"/>
          <w:kern w:val="0"/>
          <w:sz w:val="24"/>
        </w:rPr>
      </w:pPr>
      <w:r>
        <w:rPr>
          <w:rFonts w:ascii="宋体" w:hAnsi="宋体"/>
          <w:kern w:val="0"/>
          <w:sz w:val="24"/>
        </w:rPr>
        <w:t>发包人人员包括发包人代表及其他由发包人派驻施工现场的人员。</w:t>
      </w:r>
      <w:bookmarkEnd w:id="96"/>
      <w:bookmarkEnd w:id="97"/>
      <w:bookmarkEnd w:id="98"/>
    </w:p>
    <w:p>
      <w:pPr>
        <w:pStyle w:val="7"/>
        <w:spacing w:before="120" w:after="120"/>
        <w:ind w:firstLine="420"/>
        <w:rPr>
          <w:bCs w:val="0"/>
          <w:szCs w:val="24"/>
        </w:rPr>
      </w:pPr>
      <w:bookmarkStart w:id="101" w:name="_Toc18683153"/>
      <w:r>
        <w:rPr>
          <w:bCs w:val="0"/>
          <w:szCs w:val="24"/>
        </w:rPr>
        <w:t>2</w:t>
      </w:r>
      <w:bookmarkStart w:id="102" w:name="_Toc296346541"/>
      <w:bookmarkStart w:id="103" w:name="_Toc337558741"/>
      <w:bookmarkStart w:id="104" w:name="_Toc296503040"/>
      <w:r>
        <w:rPr>
          <w:bCs w:val="0"/>
          <w:szCs w:val="24"/>
        </w:rPr>
        <w:t>.4 施工现场、施工条件和基础资料的提供</w:t>
      </w:r>
      <w:bookmarkEnd w:id="101"/>
      <w:bookmarkEnd w:id="102"/>
      <w:bookmarkEnd w:id="103"/>
      <w:bookmarkEnd w:id="10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2.4.1 提供施工现场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w:t>
      </w:r>
      <w:bookmarkEnd w:id="93"/>
      <w:bookmarkEnd w:id="94"/>
      <w:r>
        <w:rPr>
          <w:rFonts w:ascii="宋体" w:hAnsi="宋体"/>
          <w:kern w:val="0"/>
          <w:sz w:val="24"/>
        </w:rPr>
        <w:t>专用合同条款另有约定外，发包人应</w:t>
      </w:r>
      <w:r>
        <w:rPr>
          <w:rFonts w:hint="eastAsia" w:ascii="宋体" w:hAnsi="宋体"/>
          <w:kern w:val="0"/>
          <w:sz w:val="24"/>
        </w:rPr>
        <w:t>最迟于</w:t>
      </w:r>
      <w:r>
        <w:rPr>
          <w:rFonts w:ascii="宋体" w:hAnsi="宋体"/>
          <w:kern w:val="0"/>
          <w:sz w:val="24"/>
        </w:rPr>
        <w:t>开工日期7天前向承包人移交施工现场。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2.4.2 提供施工条件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除专用合同条款另有约定外，发包人应负责提供施工所需要的条件，包括：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（1）将施工用水、电力、通讯线路等施工所必需的条件接至施工现场内；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（2）保证向承包人提供正常施工所需要的进入施工现场的交通条件；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（3）协调处理施工现场周围地下管线和邻近建筑物、构筑物、古树名木的保护工作，并承担相关费用；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（4）按照专用合同条款约定</w:t>
      </w:r>
      <w:r>
        <w:rPr>
          <w:rFonts w:hint="eastAsia" w:ascii="宋体" w:hAnsi="宋体"/>
          <w:kern w:val="0"/>
          <w:sz w:val="24"/>
        </w:rPr>
        <w:t>应</w:t>
      </w:r>
      <w:r>
        <w:rPr>
          <w:rFonts w:ascii="宋体" w:hAnsi="宋体"/>
          <w:kern w:val="0"/>
          <w:sz w:val="24"/>
        </w:rPr>
        <w:t>提供的其他设施和条件。</w:t>
      </w:r>
    </w:p>
    <w:p>
      <w:pPr>
        <w:autoSpaceDE w:val="0"/>
        <w:autoSpaceDN w:val="0"/>
        <w:adjustRightInd w:val="0"/>
        <w:spacing w:line="360" w:lineRule="exact"/>
        <w:ind w:firstLine="480"/>
        <w:jc w:val="left"/>
        <w:rPr>
          <w:rFonts w:ascii="宋体" w:hAnsi="宋体"/>
          <w:sz w:val="24"/>
        </w:rPr>
      </w:pPr>
      <w:r>
        <w:rPr>
          <w:rFonts w:ascii="宋体" w:hAnsi="宋体"/>
          <w:kern w:val="0"/>
          <w:sz w:val="24"/>
        </w:rPr>
        <w:t>2.4.3 提供基础资料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按照法律规定确需在开工后方能提供的基础资料，发包人应尽其努力及时地在相应工程施工前的合理期限内提供，合理期限应以不影响承包人的正常施工为限。</w:t>
      </w:r>
    </w:p>
    <w:p>
      <w:pPr>
        <w:spacing w:line="360" w:lineRule="exact"/>
        <w:ind w:firstLine="480"/>
        <w:jc w:val="left"/>
        <w:rPr>
          <w:rFonts w:ascii="宋体" w:hAnsi="宋体"/>
          <w:kern w:val="0"/>
          <w:sz w:val="24"/>
        </w:rPr>
      </w:pPr>
      <w:r>
        <w:rPr>
          <w:rFonts w:ascii="宋体" w:hAnsi="宋体"/>
          <w:kern w:val="0"/>
          <w:sz w:val="24"/>
        </w:rPr>
        <w:t>2.4.4 逾期提供的责任</w:t>
      </w:r>
    </w:p>
    <w:p>
      <w:pPr>
        <w:spacing w:line="360" w:lineRule="exact"/>
        <w:ind w:firstLine="480"/>
        <w:jc w:val="left"/>
        <w:rPr>
          <w:rFonts w:ascii="宋体" w:hAnsi="宋体"/>
          <w:kern w:val="0"/>
          <w:sz w:val="24"/>
        </w:rPr>
      </w:pPr>
      <w:r>
        <w:rPr>
          <w:rFonts w:ascii="宋体" w:hAnsi="宋体"/>
          <w:kern w:val="0"/>
          <w:sz w:val="24"/>
        </w:rPr>
        <w:t>因发包人原因未能按合同约定及时向承包人提供施工现场、施工条件、基础资料的，由发包人承担由此增加的费用和（或）延误的工期。</w:t>
      </w:r>
    </w:p>
    <w:p>
      <w:pPr>
        <w:pStyle w:val="7"/>
        <w:spacing w:before="120" w:after="120"/>
        <w:ind w:firstLine="420"/>
        <w:rPr>
          <w:bCs w:val="0"/>
          <w:szCs w:val="24"/>
        </w:rPr>
      </w:pPr>
      <w:bookmarkStart w:id="105" w:name="_Toc18683154"/>
      <w:r>
        <w:rPr>
          <w:bCs w:val="0"/>
          <w:szCs w:val="24"/>
        </w:rPr>
        <w:t>2</w:t>
      </w:r>
      <w:bookmarkStart w:id="106" w:name="_Toc296346543"/>
      <w:bookmarkStart w:id="107" w:name="_Toc337558745"/>
      <w:bookmarkStart w:id="108" w:name="_Toc296503042"/>
      <w:r>
        <w:rPr>
          <w:bCs w:val="0"/>
          <w:szCs w:val="24"/>
        </w:rPr>
        <w:t>.5 资</w:t>
      </w:r>
      <w:bookmarkEnd w:id="106"/>
      <w:bookmarkEnd w:id="107"/>
      <w:bookmarkEnd w:id="108"/>
      <w:r>
        <w:rPr>
          <w:bCs w:val="0"/>
          <w:szCs w:val="24"/>
        </w:rPr>
        <w:t>金来源证明及支付担保</w:t>
      </w:r>
      <w:bookmarkEnd w:id="105"/>
    </w:p>
    <w:p>
      <w:pPr>
        <w:spacing w:line="360" w:lineRule="exact"/>
        <w:ind w:firstLine="480"/>
        <w:jc w:val="left"/>
        <w:rPr>
          <w:rFonts w:ascii="宋体" w:hAnsi="宋体"/>
          <w:kern w:val="0"/>
          <w:sz w:val="24"/>
        </w:rPr>
      </w:pPr>
      <w:r>
        <w:rPr>
          <w:rFonts w:ascii="宋体" w:hAnsi="宋体"/>
          <w:kern w:val="0"/>
          <w:sz w:val="24"/>
        </w:rPr>
        <w:t>除专用合同条款另有约定外，发包人应在收到承包人要求提供资金来源证明的书面通知后28天内，向承包人提供能够按照合同约定支付合同价款的相应资金来源证明。</w:t>
      </w:r>
    </w:p>
    <w:p>
      <w:pPr>
        <w:spacing w:line="360" w:lineRule="exact"/>
        <w:ind w:firstLine="480"/>
        <w:jc w:val="left"/>
        <w:rPr>
          <w:rFonts w:ascii="宋体" w:hAnsi="宋体"/>
          <w:kern w:val="0"/>
          <w:sz w:val="24"/>
        </w:rPr>
      </w:pPr>
      <w:r>
        <w:rPr>
          <w:rFonts w:ascii="宋体" w:hAnsi="宋体"/>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120" w:after="120"/>
        <w:ind w:firstLine="420"/>
        <w:rPr>
          <w:bCs w:val="0"/>
          <w:szCs w:val="24"/>
        </w:rPr>
      </w:pPr>
      <w:bookmarkStart w:id="109" w:name="_Toc18683155"/>
      <w:r>
        <w:rPr>
          <w:bCs w:val="0"/>
          <w:szCs w:val="24"/>
        </w:rPr>
        <w:t>2.6 支付合同价款</w:t>
      </w:r>
      <w:bookmarkEnd w:id="10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发包人应按合同约定向承包人及时支付合同价款。</w:t>
      </w:r>
    </w:p>
    <w:p>
      <w:pPr>
        <w:pStyle w:val="7"/>
        <w:spacing w:before="120" w:after="120"/>
        <w:ind w:firstLine="420"/>
        <w:rPr>
          <w:bCs w:val="0"/>
          <w:szCs w:val="24"/>
        </w:rPr>
      </w:pPr>
      <w:bookmarkStart w:id="110" w:name="_Toc18683156"/>
      <w:r>
        <w:rPr>
          <w:bCs w:val="0"/>
          <w:szCs w:val="24"/>
        </w:rPr>
        <w:t>2.7 组织竣工验收</w:t>
      </w:r>
      <w:bookmarkEnd w:id="11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发包人应按合同约定及时组织竣工验收。</w:t>
      </w:r>
    </w:p>
    <w:p>
      <w:pPr>
        <w:pStyle w:val="7"/>
        <w:spacing w:before="120" w:after="120"/>
        <w:ind w:firstLine="420"/>
        <w:rPr>
          <w:bCs w:val="0"/>
          <w:szCs w:val="24"/>
        </w:rPr>
      </w:pPr>
      <w:bookmarkStart w:id="111" w:name="_Toc18683157"/>
      <w:r>
        <w:rPr>
          <w:bCs w:val="0"/>
          <w:szCs w:val="24"/>
        </w:rPr>
        <w:t>2.8 现场统一管理协议</w:t>
      </w:r>
      <w:bookmarkEnd w:id="111"/>
    </w:p>
    <w:p>
      <w:pPr>
        <w:spacing w:line="360" w:lineRule="exact"/>
        <w:ind w:firstLine="480"/>
        <w:jc w:val="left"/>
        <w:rPr>
          <w:rFonts w:ascii="宋体" w:hAnsi="宋体"/>
          <w:kern w:val="0"/>
          <w:sz w:val="24"/>
        </w:rPr>
      </w:pPr>
      <w:r>
        <w:rPr>
          <w:rFonts w:ascii="宋体" w:hAnsi="宋体"/>
          <w:kern w:val="0"/>
          <w:sz w:val="24"/>
        </w:rPr>
        <w:t>发包人应与承包人、由发包人直接发包的专业工程的承包人签订施工现场统一管理协议，明确各方的权利义务。施工现场统一管理协议作为专用合同条款的附件。</w:t>
      </w:r>
    </w:p>
    <w:p>
      <w:pPr>
        <w:pStyle w:val="6"/>
        <w:ind w:left="103" w:leftChars="0" w:firstLineChars="0"/>
      </w:pPr>
      <w:bookmarkStart w:id="112" w:name="_Toc18683158"/>
      <w:r>
        <w:t>3</w:t>
      </w:r>
      <w:bookmarkStart w:id="113" w:name="_Toc296503045"/>
      <w:bookmarkStart w:id="114" w:name="_Toc337558746"/>
      <w:bookmarkStart w:id="115" w:name="_Toc296346546"/>
      <w:r>
        <w:t>. 承包人</w:t>
      </w:r>
      <w:bookmarkEnd w:id="112"/>
    </w:p>
    <w:bookmarkEnd w:id="113"/>
    <w:bookmarkEnd w:id="114"/>
    <w:bookmarkEnd w:id="115"/>
    <w:p>
      <w:pPr>
        <w:pStyle w:val="7"/>
        <w:spacing w:before="120" w:after="120"/>
        <w:ind w:firstLine="420"/>
        <w:rPr>
          <w:bCs w:val="0"/>
          <w:szCs w:val="24"/>
        </w:rPr>
      </w:pPr>
      <w:bookmarkStart w:id="116" w:name="_Toc18683159"/>
      <w:r>
        <w:rPr>
          <w:bCs w:val="0"/>
          <w:szCs w:val="24"/>
        </w:rPr>
        <w:t>3</w:t>
      </w:r>
      <w:bookmarkStart w:id="117" w:name="_Toc296503046"/>
      <w:bookmarkStart w:id="118" w:name="_Toc337558747"/>
      <w:bookmarkStart w:id="119" w:name="_Toc296346547"/>
      <w:r>
        <w:rPr>
          <w:bCs w:val="0"/>
          <w:szCs w:val="24"/>
        </w:rPr>
        <w:t>.1 承包人的一般义务</w:t>
      </w:r>
      <w:bookmarkEnd w:id="116"/>
    </w:p>
    <w:bookmarkEnd w:id="117"/>
    <w:bookmarkEnd w:id="118"/>
    <w:bookmarkEnd w:id="119"/>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承包人在履行合同过程中应遵守法律和工程建设标准规范，并履行以下义务：</w:t>
      </w:r>
    </w:p>
    <w:p>
      <w:pPr>
        <w:numPr>
          <w:ilvl w:val="0"/>
          <w:numId w:val="3"/>
        </w:numPr>
        <w:autoSpaceDE w:val="0"/>
        <w:autoSpaceDN w:val="0"/>
        <w:adjustRightInd w:val="0"/>
        <w:spacing w:line="360" w:lineRule="exact"/>
        <w:ind w:firstLine="480"/>
        <w:jc w:val="left"/>
        <w:rPr>
          <w:rFonts w:ascii="宋体" w:hAnsi="宋体"/>
          <w:kern w:val="0"/>
          <w:sz w:val="24"/>
        </w:rPr>
      </w:pPr>
      <w:r>
        <w:rPr>
          <w:rFonts w:ascii="宋体" w:hAnsi="宋体"/>
          <w:kern w:val="0"/>
          <w:sz w:val="24"/>
        </w:rPr>
        <w:t>办理法律规定</w:t>
      </w:r>
      <w:r>
        <w:rPr>
          <w:rFonts w:hint="eastAsia" w:ascii="宋体" w:hAnsi="宋体"/>
          <w:kern w:val="0"/>
          <w:sz w:val="24"/>
        </w:rPr>
        <w:t>应</w:t>
      </w:r>
      <w:r>
        <w:rPr>
          <w:rFonts w:ascii="宋体" w:hAnsi="宋体"/>
          <w:kern w:val="0"/>
          <w:sz w:val="24"/>
        </w:rPr>
        <w:t>由承包人办理的许可和批准，并将</w:t>
      </w:r>
      <w:r>
        <w:rPr>
          <w:rFonts w:hint="eastAsia" w:ascii="宋体" w:hAnsi="宋体"/>
          <w:kern w:val="0"/>
          <w:sz w:val="24"/>
        </w:rPr>
        <w:t>办理</w:t>
      </w:r>
      <w:r>
        <w:rPr>
          <w:rFonts w:ascii="宋体" w:hAnsi="宋体"/>
          <w:kern w:val="0"/>
          <w:sz w:val="24"/>
        </w:rPr>
        <w:t>结果书面报送发包人留存；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（2）按法律规定和合同约定完成工程，并在保修期内承担保修义务；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（3）按法律规定和合同约定采取施工安全和环境保护措施，办理工伤保险，确保工程及人员、材料、设备和设施的安全；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（6）按照第6.3款</w:t>
      </w:r>
      <w:r>
        <w:rPr>
          <w:rFonts w:hint="eastAsia" w:ascii="宋体" w:hAnsi="宋体"/>
          <w:kern w:val="0"/>
          <w:sz w:val="24"/>
        </w:rPr>
        <w:t>〔</w:t>
      </w:r>
      <w:r>
        <w:rPr>
          <w:rFonts w:ascii="宋体" w:hAnsi="宋体"/>
          <w:kern w:val="0"/>
          <w:sz w:val="24"/>
        </w:rPr>
        <w:t>环境保护</w:t>
      </w:r>
      <w:r>
        <w:rPr>
          <w:rFonts w:hint="eastAsia" w:ascii="宋体" w:hAnsi="宋体"/>
          <w:kern w:val="0"/>
          <w:sz w:val="24"/>
        </w:rPr>
        <w:t>〕</w:t>
      </w:r>
      <w:r>
        <w:rPr>
          <w:rFonts w:ascii="宋体" w:hAnsi="宋体"/>
          <w:kern w:val="0"/>
          <w:sz w:val="24"/>
        </w:rPr>
        <w:t>约定负责施工场地及其周边环境与生态的保护工作；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（7）按第6.1款</w:t>
      </w:r>
      <w:r>
        <w:rPr>
          <w:rFonts w:hint="eastAsia" w:ascii="宋体" w:hAnsi="宋体"/>
          <w:kern w:val="0"/>
          <w:sz w:val="24"/>
        </w:rPr>
        <w:t>〔</w:t>
      </w:r>
      <w:r>
        <w:rPr>
          <w:rFonts w:ascii="宋体" w:hAnsi="宋体"/>
          <w:kern w:val="0"/>
          <w:sz w:val="24"/>
        </w:rPr>
        <w:t>安全文明施工</w:t>
      </w:r>
      <w:r>
        <w:rPr>
          <w:rFonts w:hint="eastAsia" w:ascii="宋体" w:hAnsi="宋体"/>
          <w:kern w:val="0"/>
          <w:sz w:val="24"/>
        </w:rPr>
        <w:t>〕</w:t>
      </w:r>
      <w:r>
        <w:rPr>
          <w:rFonts w:ascii="宋体" w:hAnsi="宋体"/>
          <w:kern w:val="0"/>
          <w:sz w:val="24"/>
        </w:rPr>
        <w:t>约定采取施工安全措施，确保工程及其人员、材料、设备和设施的安全，防止因工程施工造成的人身伤害和财产损失；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w:t>
      </w:r>
      <w:r>
        <w:rPr>
          <w:rFonts w:hint="eastAsia" w:ascii="宋体" w:hAnsi="宋体"/>
          <w:kern w:val="0"/>
          <w:sz w:val="24"/>
        </w:rPr>
        <w:t>将</w:t>
      </w:r>
      <w:r>
        <w:rPr>
          <w:rFonts w:ascii="宋体" w:hAnsi="宋体"/>
          <w:kern w:val="0"/>
          <w:sz w:val="24"/>
        </w:rPr>
        <w:t>发包人按合同约定支付的各项价款专用于合同工程，且应及时支付其雇用人员工资，并及时向分包人支付合同价款；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（10）应履行的其他义务。</w:t>
      </w:r>
    </w:p>
    <w:p>
      <w:pPr>
        <w:pStyle w:val="7"/>
        <w:spacing w:before="120" w:after="120"/>
        <w:ind w:firstLine="420"/>
        <w:rPr>
          <w:bCs w:val="0"/>
          <w:szCs w:val="24"/>
        </w:rPr>
      </w:pPr>
      <w:bookmarkStart w:id="120" w:name="_Toc18683160"/>
      <w:r>
        <w:rPr>
          <w:bCs w:val="0"/>
          <w:szCs w:val="24"/>
        </w:rPr>
        <w:t>3</w:t>
      </w:r>
      <w:bookmarkStart w:id="121" w:name="_Toc296503047"/>
      <w:bookmarkStart w:id="122" w:name="_Toc337558748"/>
      <w:bookmarkStart w:id="123" w:name="_Toc296346548"/>
      <w:r>
        <w:rPr>
          <w:bCs w:val="0"/>
          <w:szCs w:val="24"/>
        </w:rPr>
        <w:t>.2 项目经理</w:t>
      </w:r>
      <w:bookmarkEnd w:id="120"/>
    </w:p>
    <w:bookmarkEnd w:id="121"/>
    <w:bookmarkEnd w:id="122"/>
    <w:bookmarkEnd w:id="123"/>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承包人违反上述约定的，应按照专用合同条款的约定，承担违约责任。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3.2.2 项目经理按合同约定组织工程实施。在紧急情况下</w:t>
      </w:r>
      <w:r>
        <w:rPr>
          <w:rFonts w:hint="eastAsia" w:ascii="宋体" w:hAnsi="宋体"/>
          <w:kern w:val="0"/>
          <w:sz w:val="24"/>
        </w:rPr>
        <w:t>为确保施工安全和人员安全</w:t>
      </w:r>
      <w:r>
        <w:rPr>
          <w:rFonts w:ascii="宋体" w:hAnsi="宋体"/>
          <w:kern w:val="0"/>
          <w:sz w:val="24"/>
        </w:rPr>
        <w:t>，</w:t>
      </w:r>
      <w:r>
        <w:rPr>
          <w:rFonts w:hint="eastAsia" w:ascii="宋体" w:hAnsi="宋体"/>
          <w:kern w:val="0"/>
          <w:sz w:val="24"/>
        </w:rPr>
        <w:t>在</w:t>
      </w:r>
      <w:r>
        <w:rPr>
          <w:rFonts w:ascii="宋体" w:hAnsi="宋体"/>
          <w:kern w:val="0"/>
          <w:sz w:val="24"/>
        </w:rPr>
        <w:t>无法与发包人代表和总监理工程师</w:t>
      </w:r>
      <w:r>
        <w:rPr>
          <w:rFonts w:hint="eastAsia" w:ascii="宋体" w:hAnsi="宋体"/>
          <w:kern w:val="0"/>
          <w:sz w:val="24"/>
        </w:rPr>
        <w:t>及时</w:t>
      </w:r>
      <w:r>
        <w:rPr>
          <w:rFonts w:ascii="宋体" w:hAnsi="宋体"/>
          <w:kern w:val="0"/>
          <w:sz w:val="24"/>
        </w:rPr>
        <w:t>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kern w:val="0"/>
          <w:sz w:val="24"/>
        </w:rPr>
        <w:t>继</w:t>
      </w:r>
      <w:r>
        <w:rPr>
          <w:rFonts w:ascii="宋体" w:hAnsi="宋体"/>
          <w:kern w:val="0"/>
          <w:sz w:val="24"/>
        </w:rPr>
        <w:t>任项目经理继续履行第3.2.1项约定的职责。承包人无正当理由拒绝更换项目经理的，应按照专用合同条款的约定承担违约责任。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120" w:after="120"/>
        <w:ind w:firstLine="420"/>
        <w:rPr>
          <w:bCs w:val="0"/>
          <w:szCs w:val="24"/>
        </w:rPr>
      </w:pPr>
      <w:bookmarkStart w:id="124" w:name="_Toc18683161"/>
      <w:r>
        <w:rPr>
          <w:bCs w:val="0"/>
          <w:szCs w:val="24"/>
        </w:rPr>
        <w:t>3</w:t>
      </w:r>
      <w:bookmarkStart w:id="125" w:name="_Toc296503048"/>
      <w:bookmarkStart w:id="126" w:name="_Toc296346549"/>
      <w:bookmarkStart w:id="127" w:name="_Toc337558749"/>
      <w:r>
        <w:rPr>
          <w:bCs w:val="0"/>
          <w:szCs w:val="24"/>
        </w:rPr>
        <w:t xml:space="preserve">.3 </w:t>
      </w:r>
      <w:bookmarkEnd w:id="125"/>
      <w:bookmarkEnd w:id="126"/>
      <w:r>
        <w:rPr>
          <w:bCs w:val="0"/>
          <w:szCs w:val="24"/>
        </w:rPr>
        <w:t>承包人人员</w:t>
      </w:r>
      <w:bookmarkEnd w:id="124"/>
    </w:p>
    <w:bookmarkEnd w:id="127"/>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kern w:val="0"/>
          <w:sz w:val="24"/>
        </w:rPr>
        <w:t>和</w:t>
      </w:r>
      <w:r>
        <w:rPr>
          <w:rFonts w:ascii="宋体" w:hAnsi="宋体"/>
          <w:kern w:val="0"/>
          <w:sz w:val="24"/>
        </w:rPr>
        <w:t>缴纳社会保险的有效证明。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3.3.2 承包人派驻到施工现场的主要施工管理人员应相对稳定。施工过程中</w:t>
      </w:r>
      <w:r>
        <w:rPr>
          <w:rFonts w:hint="eastAsia" w:ascii="宋体" w:hAnsi="宋体"/>
          <w:kern w:val="0"/>
          <w:sz w:val="24"/>
        </w:rPr>
        <w:t>如有变动</w:t>
      </w:r>
      <w:r>
        <w:rPr>
          <w:rFonts w:ascii="宋体" w:hAnsi="宋体"/>
          <w:kern w:val="0"/>
          <w:sz w:val="24"/>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特殊工种作业人员均应持有相应的资格证明，监理人可以随时检查。</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3.3.3 发包人对于承包人主要施工管理人员</w:t>
      </w:r>
      <w:r>
        <w:rPr>
          <w:rFonts w:hint="eastAsia" w:ascii="宋体" w:hAnsi="宋体"/>
          <w:kern w:val="0"/>
          <w:sz w:val="24"/>
        </w:rPr>
        <w:t>的资格或能力</w:t>
      </w:r>
      <w:r>
        <w:rPr>
          <w:rFonts w:ascii="宋体" w:hAnsi="宋体"/>
          <w:kern w:val="0"/>
          <w:sz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3.3.5 承包人擅自更换主要施工管理人员，或前述人员未经监理人或发包人同意擅自离开施工现场的，应按照专用合同条款约定承担违约责任。</w:t>
      </w:r>
    </w:p>
    <w:p>
      <w:pPr>
        <w:pStyle w:val="7"/>
        <w:spacing w:before="120" w:after="120"/>
        <w:ind w:firstLine="420"/>
        <w:rPr>
          <w:bCs w:val="0"/>
          <w:szCs w:val="24"/>
        </w:rPr>
      </w:pPr>
      <w:bookmarkStart w:id="128" w:name="_Toc18683162"/>
      <w:r>
        <w:rPr>
          <w:bCs w:val="0"/>
          <w:szCs w:val="24"/>
        </w:rPr>
        <w:t>3</w:t>
      </w:r>
      <w:bookmarkStart w:id="129" w:name="_Toc296503050"/>
      <w:bookmarkStart w:id="130" w:name="_Toc337558750"/>
      <w:bookmarkStart w:id="131" w:name="_Toc296346551"/>
      <w:r>
        <w:rPr>
          <w:bCs w:val="0"/>
          <w:szCs w:val="24"/>
        </w:rPr>
        <w:t>.4 承包人现场查勘</w:t>
      </w:r>
      <w:bookmarkEnd w:id="128"/>
    </w:p>
    <w:bookmarkEnd w:id="129"/>
    <w:bookmarkEnd w:id="130"/>
    <w:bookmarkEnd w:id="131"/>
    <w:p>
      <w:pPr>
        <w:autoSpaceDE w:val="0"/>
        <w:autoSpaceDN w:val="0"/>
        <w:adjustRightInd w:val="0"/>
        <w:spacing w:line="360" w:lineRule="exact"/>
        <w:ind w:firstLine="480"/>
        <w:jc w:val="left"/>
        <w:rPr>
          <w:rFonts w:ascii="宋体" w:hAnsi="宋体"/>
          <w:sz w:val="24"/>
        </w:rPr>
      </w:pPr>
      <w:r>
        <w:rPr>
          <w:rFonts w:ascii="宋体" w:hAnsi="宋体"/>
          <w:kern w:val="0"/>
          <w:sz w:val="24"/>
        </w:rPr>
        <w:t>承包人应对基于发包人按照第2.4.3项</w:t>
      </w:r>
      <w:r>
        <w:rPr>
          <w:rFonts w:hint="eastAsia" w:ascii="宋体" w:hAnsi="宋体"/>
          <w:kern w:val="0"/>
          <w:sz w:val="24"/>
        </w:rPr>
        <w:t>〔</w:t>
      </w:r>
      <w:r>
        <w:rPr>
          <w:rFonts w:ascii="宋体" w:hAnsi="宋体"/>
          <w:kern w:val="0"/>
          <w:sz w:val="24"/>
        </w:rPr>
        <w:t>提供基础资料</w:t>
      </w:r>
      <w:r>
        <w:rPr>
          <w:rFonts w:hint="eastAsia" w:ascii="宋体" w:hAnsi="宋体"/>
          <w:kern w:val="0"/>
          <w:sz w:val="24"/>
        </w:rPr>
        <w:t>〕</w:t>
      </w:r>
      <w:r>
        <w:rPr>
          <w:rFonts w:ascii="宋体" w:hAnsi="宋体"/>
          <w:kern w:val="0"/>
          <w:sz w:val="24"/>
        </w:rPr>
        <w:t>提交的基础资料所做出的解释和推断负责，但因基础资料存在错误、遗漏导致承包人解释或推断失实的，由发包人承担责任。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120" w:after="120"/>
        <w:ind w:firstLine="420"/>
        <w:rPr>
          <w:bCs w:val="0"/>
          <w:szCs w:val="24"/>
        </w:rPr>
      </w:pPr>
      <w:bookmarkStart w:id="132" w:name="_Toc18683163"/>
      <w:r>
        <w:rPr>
          <w:bCs w:val="0"/>
          <w:szCs w:val="24"/>
        </w:rPr>
        <w:t>3</w:t>
      </w:r>
      <w:bookmarkStart w:id="133" w:name="_Toc296503051"/>
      <w:bookmarkStart w:id="134" w:name="_Toc296346552"/>
      <w:bookmarkStart w:id="135" w:name="_Toc337558751"/>
      <w:r>
        <w:rPr>
          <w:bCs w:val="0"/>
          <w:szCs w:val="24"/>
        </w:rPr>
        <w:t>.5 分包</w:t>
      </w:r>
      <w:bookmarkEnd w:id="132"/>
    </w:p>
    <w:bookmarkEnd w:id="133"/>
    <w:bookmarkEnd w:id="134"/>
    <w:bookmarkEnd w:id="135"/>
    <w:p>
      <w:pPr>
        <w:spacing w:line="360" w:lineRule="exact"/>
        <w:ind w:firstLine="480"/>
        <w:jc w:val="left"/>
        <w:rPr>
          <w:rFonts w:ascii="宋体" w:hAnsi="宋体"/>
          <w:kern w:val="0"/>
          <w:sz w:val="24"/>
        </w:rPr>
      </w:pPr>
      <w:r>
        <w:rPr>
          <w:rFonts w:ascii="宋体" w:hAnsi="宋体"/>
          <w:kern w:val="0"/>
          <w:sz w:val="24"/>
        </w:rPr>
        <w:t>3.5.1 分包的一般约定</w:t>
      </w:r>
    </w:p>
    <w:p>
      <w:pPr>
        <w:spacing w:line="360" w:lineRule="exact"/>
        <w:ind w:firstLine="480"/>
        <w:jc w:val="left"/>
        <w:rPr>
          <w:rFonts w:ascii="宋体" w:hAnsi="宋体"/>
          <w:kern w:val="0"/>
          <w:sz w:val="24"/>
        </w:rPr>
      </w:pPr>
      <w:r>
        <w:rPr>
          <w:rFonts w:ascii="宋体" w:hAnsi="宋体"/>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exact"/>
        <w:ind w:firstLine="480"/>
        <w:jc w:val="left"/>
        <w:rPr>
          <w:rFonts w:ascii="宋体" w:hAnsi="宋体"/>
          <w:kern w:val="0"/>
          <w:sz w:val="24"/>
        </w:rPr>
      </w:pPr>
      <w:r>
        <w:rPr>
          <w:rFonts w:hint="eastAsia" w:ascii="宋体" w:hAnsi="宋体"/>
          <w:kern w:val="0"/>
          <w:sz w:val="24"/>
        </w:rPr>
        <w:t>承包人不得以劳务分包的名义转包或违法分包工程。</w:t>
      </w:r>
    </w:p>
    <w:p>
      <w:pPr>
        <w:spacing w:line="360" w:lineRule="exact"/>
        <w:ind w:firstLine="480"/>
        <w:jc w:val="left"/>
        <w:rPr>
          <w:rFonts w:ascii="宋体" w:hAnsi="宋体"/>
          <w:kern w:val="0"/>
          <w:sz w:val="24"/>
        </w:rPr>
      </w:pPr>
      <w:r>
        <w:rPr>
          <w:rFonts w:ascii="宋体" w:hAnsi="宋体"/>
          <w:kern w:val="0"/>
          <w:sz w:val="24"/>
        </w:rPr>
        <w:t>3.5.2 分包的确定</w:t>
      </w:r>
    </w:p>
    <w:p>
      <w:pPr>
        <w:spacing w:line="360" w:lineRule="exact"/>
        <w:ind w:firstLine="480"/>
        <w:jc w:val="left"/>
        <w:rPr>
          <w:rFonts w:ascii="宋体" w:hAnsi="宋体"/>
          <w:kern w:val="0"/>
          <w:sz w:val="24"/>
        </w:rPr>
      </w:pPr>
      <w:r>
        <w:rPr>
          <w:rFonts w:ascii="宋体" w:hAnsi="宋体"/>
          <w:kern w:val="0"/>
          <w:sz w:val="24"/>
        </w:rPr>
        <w:t>承包人应按专用合同条款的约定进行分包，确定分包人。已标价工程量清单或预算书中给定暂估价的专业工程，按照第10.7款</w:t>
      </w:r>
      <w:r>
        <w:rPr>
          <w:rFonts w:hint="eastAsia" w:ascii="宋体" w:hAnsi="宋体"/>
          <w:kern w:val="0"/>
          <w:sz w:val="24"/>
        </w:rPr>
        <w:t>〔</w:t>
      </w:r>
      <w:r>
        <w:rPr>
          <w:rFonts w:ascii="宋体" w:hAnsi="宋体"/>
          <w:kern w:val="0"/>
          <w:sz w:val="24"/>
        </w:rPr>
        <w:t>暂估价</w:t>
      </w:r>
      <w:r>
        <w:rPr>
          <w:rFonts w:hint="eastAsia" w:ascii="宋体" w:hAnsi="宋体"/>
          <w:kern w:val="0"/>
          <w:sz w:val="24"/>
        </w:rPr>
        <w:t>〕</w:t>
      </w:r>
      <w:r>
        <w:rPr>
          <w:rFonts w:ascii="宋体" w:hAnsi="宋体"/>
          <w:kern w:val="0"/>
          <w:sz w:val="24"/>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exact"/>
        <w:ind w:firstLine="480"/>
        <w:jc w:val="left"/>
        <w:rPr>
          <w:rFonts w:ascii="宋体" w:hAnsi="宋体"/>
          <w:kern w:val="0"/>
          <w:sz w:val="24"/>
        </w:rPr>
      </w:pPr>
      <w:r>
        <w:rPr>
          <w:rFonts w:ascii="宋体" w:hAnsi="宋体"/>
          <w:kern w:val="0"/>
          <w:sz w:val="24"/>
        </w:rPr>
        <w:t>3.5.3 分包管理</w:t>
      </w:r>
    </w:p>
    <w:p>
      <w:pPr>
        <w:spacing w:line="360" w:lineRule="exact"/>
        <w:ind w:firstLine="480"/>
        <w:jc w:val="left"/>
        <w:rPr>
          <w:rFonts w:ascii="宋体" w:hAnsi="宋体"/>
          <w:kern w:val="0"/>
          <w:sz w:val="24"/>
        </w:rPr>
      </w:pPr>
      <w:r>
        <w:rPr>
          <w:rFonts w:ascii="宋体" w:hAnsi="宋体"/>
          <w:kern w:val="0"/>
          <w:sz w:val="24"/>
        </w:rPr>
        <w:t>承包人应向监理人提交分包人的主要施工管理人员表，并对分包人的施工人员进行实名制管理，包括但不限于进出场管理、登记造册以及各种证照的办理。</w:t>
      </w:r>
    </w:p>
    <w:p>
      <w:pPr>
        <w:spacing w:line="360" w:lineRule="exact"/>
        <w:ind w:firstLine="480"/>
        <w:jc w:val="left"/>
        <w:rPr>
          <w:rFonts w:ascii="宋体" w:hAnsi="宋体"/>
          <w:kern w:val="0"/>
          <w:sz w:val="24"/>
        </w:rPr>
      </w:pPr>
      <w:r>
        <w:rPr>
          <w:rFonts w:ascii="宋体" w:hAnsi="宋体"/>
          <w:kern w:val="0"/>
          <w:sz w:val="24"/>
        </w:rPr>
        <w:t>3.5.4 分包合同价款</w:t>
      </w:r>
    </w:p>
    <w:p>
      <w:pPr>
        <w:spacing w:line="360" w:lineRule="exact"/>
        <w:ind w:firstLine="480"/>
        <w:jc w:val="left"/>
        <w:rPr>
          <w:rFonts w:ascii="宋体" w:hAnsi="宋体"/>
          <w:kern w:val="0"/>
          <w:sz w:val="24"/>
        </w:rPr>
      </w:pPr>
      <w:r>
        <w:rPr>
          <w:rFonts w:ascii="宋体" w:hAnsi="宋体"/>
          <w:kern w:val="0"/>
          <w:sz w:val="24"/>
        </w:rPr>
        <w:t>（1）除本项第（2）目约定的情况或专用合同条款另有约定外，分包合同价款由承包人与分包人结算，未经承包人同意，发包人不得向分包人支付分包工程价款；</w:t>
      </w:r>
    </w:p>
    <w:p>
      <w:pPr>
        <w:spacing w:line="360" w:lineRule="exact"/>
        <w:ind w:firstLine="480"/>
        <w:jc w:val="left"/>
        <w:rPr>
          <w:rFonts w:ascii="宋体" w:hAnsi="宋体"/>
          <w:kern w:val="0"/>
          <w:sz w:val="24"/>
        </w:rPr>
      </w:pPr>
      <w:r>
        <w:rPr>
          <w:rFonts w:ascii="宋体" w:hAnsi="宋体"/>
          <w:kern w:val="0"/>
          <w:sz w:val="24"/>
        </w:rPr>
        <w:t>（2）生效法律文书要求发包人向分包人支付分包合同价款的，发包人有权从应付承包人工程款中扣除该部分款项。</w:t>
      </w:r>
    </w:p>
    <w:p>
      <w:pPr>
        <w:spacing w:line="360" w:lineRule="exact"/>
        <w:ind w:firstLine="480"/>
        <w:jc w:val="left"/>
        <w:rPr>
          <w:rFonts w:ascii="宋体" w:hAnsi="宋体"/>
          <w:kern w:val="0"/>
          <w:sz w:val="24"/>
        </w:rPr>
      </w:pPr>
      <w:r>
        <w:rPr>
          <w:rFonts w:ascii="宋体" w:hAnsi="宋体"/>
          <w:kern w:val="0"/>
          <w:sz w:val="24"/>
        </w:rPr>
        <w:t>3.5.5 分包合同权益的转让</w:t>
      </w:r>
    </w:p>
    <w:p>
      <w:pPr>
        <w:spacing w:line="360" w:lineRule="exact"/>
        <w:ind w:firstLine="480"/>
        <w:jc w:val="left"/>
        <w:rPr>
          <w:rFonts w:ascii="宋体" w:hAnsi="宋体"/>
          <w:kern w:val="0"/>
          <w:sz w:val="24"/>
        </w:rPr>
      </w:pPr>
      <w:r>
        <w:rPr>
          <w:rFonts w:ascii="宋体" w:hAnsi="宋体"/>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pStyle w:val="7"/>
        <w:spacing w:before="120" w:after="120"/>
        <w:ind w:firstLine="420"/>
        <w:rPr>
          <w:bCs w:val="0"/>
          <w:szCs w:val="24"/>
        </w:rPr>
      </w:pPr>
      <w:bookmarkStart w:id="136" w:name="_Toc18683164"/>
      <w:r>
        <w:rPr>
          <w:bCs w:val="0"/>
          <w:szCs w:val="24"/>
        </w:rPr>
        <w:t>3.6 工程照管与成品、半成品保护</w:t>
      </w:r>
      <w:bookmarkEnd w:id="136"/>
    </w:p>
    <w:p>
      <w:pPr>
        <w:spacing w:line="360" w:lineRule="exact"/>
        <w:ind w:firstLine="480"/>
        <w:jc w:val="left"/>
        <w:rPr>
          <w:rFonts w:ascii="宋体" w:hAnsi="宋体"/>
          <w:kern w:val="0"/>
          <w:sz w:val="24"/>
        </w:rPr>
      </w:pPr>
      <w:r>
        <w:rPr>
          <w:rFonts w:ascii="宋体" w:hAnsi="宋体"/>
          <w:kern w:val="0"/>
          <w:sz w:val="24"/>
        </w:rPr>
        <w:t>（1）除专用合同条款另有约定外，自发包人向承包人移交施工现场之日起，承包人应负责照管工程及工程相关的材料、工程设备，直到颁发工程接收证书之日止。</w:t>
      </w:r>
    </w:p>
    <w:p>
      <w:pPr>
        <w:spacing w:line="360" w:lineRule="exact"/>
        <w:ind w:firstLine="480"/>
        <w:jc w:val="left"/>
        <w:rPr>
          <w:rFonts w:ascii="宋体" w:hAnsi="宋体"/>
          <w:kern w:val="0"/>
          <w:sz w:val="24"/>
        </w:rPr>
      </w:pPr>
      <w:r>
        <w:rPr>
          <w:rFonts w:ascii="宋体" w:hAnsi="宋体"/>
          <w:kern w:val="0"/>
          <w:sz w:val="24"/>
        </w:rPr>
        <w:t>（</w:t>
      </w:r>
      <w:r>
        <w:rPr>
          <w:rFonts w:hint="eastAsia" w:ascii="宋体" w:hAnsi="宋体"/>
          <w:kern w:val="0"/>
          <w:sz w:val="24"/>
        </w:rPr>
        <w:t>2</w:t>
      </w:r>
      <w:r>
        <w:rPr>
          <w:rFonts w:ascii="宋体" w:hAnsi="宋体"/>
          <w:kern w:val="0"/>
          <w:sz w:val="24"/>
        </w:rPr>
        <w:t>）在承包人负责照管期间，因承包人原因造成工程、材料、工程设备损坏的，由承包人负责修复或更换，并承担由此增加的费用和（或）延误的工期。</w:t>
      </w:r>
    </w:p>
    <w:p>
      <w:pPr>
        <w:spacing w:line="360" w:lineRule="exact"/>
        <w:ind w:firstLine="480"/>
        <w:jc w:val="left"/>
        <w:rPr>
          <w:rFonts w:ascii="宋体" w:hAnsi="宋体"/>
          <w:kern w:val="0"/>
          <w:sz w:val="24"/>
        </w:rPr>
      </w:pPr>
      <w:r>
        <w:rPr>
          <w:rFonts w:ascii="宋体" w:hAnsi="宋体"/>
          <w:kern w:val="0"/>
          <w:sz w:val="24"/>
        </w:rPr>
        <w:t>（</w:t>
      </w:r>
      <w:r>
        <w:rPr>
          <w:rFonts w:hint="eastAsia" w:ascii="宋体" w:hAnsi="宋体"/>
          <w:kern w:val="0"/>
          <w:sz w:val="24"/>
        </w:rPr>
        <w:t>3</w:t>
      </w:r>
      <w:r>
        <w:rPr>
          <w:rFonts w:ascii="宋体" w:hAnsi="宋体"/>
          <w:kern w:val="0"/>
          <w:sz w:val="24"/>
        </w:rPr>
        <w:t>）对合同内分期完成的成品和半成品，在工程接收证书颁发前，由承包人承担保护责任。因承包人原因造成成品或半成品损坏的，由承包人负责修复或更换，并承担由此增加的费用和（或）延误的工期。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120" w:after="120"/>
        <w:ind w:firstLine="420"/>
        <w:rPr>
          <w:bCs w:val="0"/>
          <w:szCs w:val="24"/>
        </w:rPr>
      </w:pPr>
      <w:bookmarkStart w:id="137" w:name="_Toc18683165"/>
      <w:r>
        <w:rPr>
          <w:bCs w:val="0"/>
          <w:szCs w:val="24"/>
        </w:rPr>
        <w:t>3</w:t>
      </w:r>
      <w:bookmarkStart w:id="138" w:name="_Toc337558752"/>
      <w:bookmarkStart w:id="139" w:name="_Toc296503052"/>
      <w:bookmarkStart w:id="140" w:name="_Toc296346553"/>
      <w:r>
        <w:rPr>
          <w:bCs w:val="0"/>
          <w:szCs w:val="24"/>
        </w:rPr>
        <w:t>.7 履约担保</w:t>
      </w:r>
      <w:bookmarkEnd w:id="137"/>
    </w:p>
    <w:bookmarkEnd w:id="138"/>
    <w:bookmarkEnd w:id="139"/>
    <w:bookmarkEnd w:id="140"/>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发包人需要承包人提供履约担保的，由合同当事人在专用合同条款中约定履约担保的方式、金额及期限等。</w:t>
      </w:r>
      <w:r>
        <w:rPr>
          <w:rFonts w:ascii="宋体" w:hAnsi="宋体"/>
          <w:kern w:val="0"/>
          <w:sz w:val="24"/>
        </w:rPr>
        <w:t>履约担保可以采用银行保函或担保公司担保等形式，具体由合同当事人在专用合同条款中约定。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因承包人原因导致工期延长的，继续提供履约担保所增加的费用由承包人承担；非因承包人原因导致工期延长的，继续提供履约担保所增加的费用由发包人承担。</w:t>
      </w:r>
    </w:p>
    <w:p>
      <w:pPr>
        <w:pStyle w:val="7"/>
        <w:spacing w:before="120" w:after="120"/>
        <w:ind w:firstLine="420"/>
        <w:rPr>
          <w:bCs w:val="0"/>
          <w:szCs w:val="24"/>
        </w:rPr>
      </w:pPr>
      <w:bookmarkStart w:id="141" w:name="_Toc18683166"/>
      <w:r>
        <w:rPr>
          <w:bCs w:val="0"/>
          <w:szCs w:val="24"/>
        </w:rPr>
        <w:t>3.8 联合体</w:t>
      </w:r>
      <w:bookmarkEnd w:id="141"/>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3.8.1 联合体各方应共同与发包人签订合同协议书。联合体各方应为履行合同</w:t>
      </w:r>
      <w:r>
        <w:rPr>
          <w:rFonts w:hint="eastAsia" w:ascii="宋体" w:hAnsi="宋体"/>
          <w:kern w:val="0"/>
          <w:sz w:val="24"/>
        </w:rPr>
        <w:t>向发包人</w:t>
      </w:r>
      <w:r>
        <w:rPr>
          <w:rFonts w:ascii="宋体" w:hAnsi="宋体"/>
          <w:kern w:val="0"/>
          <w:sz w:val="24"/>
        </w:rPr>
        <w:t>承担连带责任。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3.8.2 联合体协议经发包人确认后作为合同附件。在履行合同过程中，未经发包人同意，不得修改联合体协议。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3.8.3 联合体牵头人负责与发包人和监理人联系，并接受指示，负责组织联合体各成员全面履行合同。</w:t>
      </w:r>
    </w:p>
    <w:p>
      <w:pPr>
        <w:pStyle w:val="6"/>
        <w:ind w:left="103" w:leftChars="0" w:firstLineChars="0"/>
      </w:pPr>
      <w:bookmarkStart w:id="142" w:name="_Toc18683167"/>
      <w:r>
        <w:t>4</w:t>
      </w:r>
      <w:bookmarkStart w:id="143" w:name="_Toc296346554"/>
      <w:bookmarkStart w:id="144" w:name="_Toc296503053"/>
      <w:bookmarkStart w:id="145" w:name="_Toc337558753"/>
      <w:r>
        <w:t>. 监</w:t>
      </w:r>
      <w:bookmarkEnd w:id="143"/>
      <w:bookmarkEnd w:id="144"/>
      <w:r>
        <w:t>理人</w:t>
      </w:r>
      <w:bookmarkEnd w:id="142"/>
    </w:p>
    <w:bookmarkEnd w:id="145"/>
    <w:p>
      <w:pPr>
        <w:pStyle w:val="7"/>
        <w:ind w:firstLine="420"/>
        <w:rPr>
          <w:bCs w:val="0"/>
        </w:rPr>
      </w:pPr>
      <w:bookmarkStart w:id="146" w:name="_Toc18683168"/>
      <w:r>
        <w:rPr>
          <w:bCs w:val="0"/>
        </w:rPr>
        <w:t>4</w:t>
      </w:r>
      <w:bookmarkStart w:id="147" w:name="_Toc296503054"/>
      <w:bookmarkStart w:id="148" w:name="_Toc337558754"/>
      <w:bookmarkStart w:id="149" w:name="_Toc296346555"/>
      <w:r>
        <w:rPr>
          <w:bCs w:val="0"/>
        </w:rPr>
        <w:t>.1监理人的一般规定</w:t>
      </w:r>
      <w:bookmarkEnd w:id="146"/>
    </w:p>
    <w:bookmarkEnd w:id="147"/>
    <w:bookmarkEnd w:id="148"/>
    <w:bookmarkEnd w:id="14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除专用合同条款另有约定外，监理人在施工现场的办公场所、生活场所由承包人提供，所发生的费用由发包人承担。</w:t>
      </w:r>
    </w:p>
    <w:p>
      <w:pPr>
        <w:pStyle w:val="7"/>
        <w:ind w:firstLine="420"/>
        <w:rPr>
          <w:bCs w:val="0"/>
        </w:rPr>
      </w:pPr>
      <w:bookmarkStart w:id="150" w:name="_Toc18683169"/>
      <w:r>
        <w:rPr>
          <w:bCs w:val="0"/>
        </w:rPr>
        <w:t>4</w:t>
      </w:r>
      <w:bookmarkStart w:id="151" w:name="_Toc337558755"/>
      <w:r>
        <w:rPr>
          <w:bCs w:val="0"/>
        </w:rPr>
        <w:t>.2监理人员</w:t>
      </w:r>
      <w:bookmarkEnd w:id="150"/>
    </w:p>
    <w:bookmarkEnd w:id="151"/>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ind w:firstLine="420"/>
        <w:rPr>
          <w:bCs w:val="0"/>
        </w:rPr>
      </w:pPr>
      <w:bookmarkStart w:id="152" w:name="_Toc18683170"/>
      <w:r>
        <w:rPr>
          <w:bCs w:val="0"/>
        </w:rPr>
        <w:t>4</w:t>
      </w:r>
      <w:bookmarkStart w:id="153" w:name="_Toc296503055"/>
      <w:bookmarkStart w:id="154" w:name="_Toc296346556"/>
      <w:bookmarkStart w:id="155" w:name="_Toc337558756"/>
      <w:r>
        <w:rPr>
          <w:bCs w:val="0"/>
        </w:rPr>
        <w:t>.3</w:t>
      </w:r>
      <w:bookmarkEnd w:id="153"/>
      <w:bookmarkEnd w:id="154"/>
      <w:r>
        <w:rPr>
          <w:bCs w:val="0"/>
        </w:rPr>
        <w:t>监理人的指</w:t>
      </w:r>
      <w:bookmarkEnd w:id="155"/>
      <w:r>
        <w:rPr>
          <w:bCs w:val="0"/>
        </w:rPr>
        <w:t>示</w:t>
      </w:r>
      <w:bookmarkEnd w:id="15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kern w:val="0"/>
          <w:sz w:val="24"/>
        </w:rPr>
        <w:t>相应</w:t>
      </w:r>
      <w:r>
        <w:rPr>
          <w:rFonts w:ascii="宋体" w:hAnsi="宋体"/>
          <w:kern w:val="0"/>
          <w:sz w:val="24"/>
        </w:rPr>
        <w:t>责任。除专用合同条款另有约定外，总监理工程师不应将第4.4款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约定应由总监理工程师作出确定的权力授权或委托给其他监理人员。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监理人对承包人的任何工作、工程或其采用的材料和工程设备未在约定的或合理期限内提出意见的，视为批准，但不免除或减轻承包人对该工作、工程、材料、工程设备等应承担的责任和义务。</w:t>
      </w:r>
    </w:p>
    <w:p>
      <w:pPr>
        <w:pStyle w:val="7"/>
        <w:ind w:firstLine="420"/>
      </w:pPr>
      <w:bookmarkStart w:id="156" w:name="_Toc18683171"/>
      <w:r>
        <w:t>4</w:t>
      </w:r>
      <w:bookmarkStart w:id="157" w:name="_Toc296503057"/>
      <w:bookmarkStart w:id="158" w:name="_Toc337558757"/>
      <w:bookmarkStart w:id="159" w:name="_Toc296346558"/>
      <w:r>
        <w:t>.4 商定或确定</w:t>
      </w:r>
      <w:bookmarkEnd w:id="156"/>
    </w:p>
    <w:bookmarkEnd w:id="157"/>
    <w:bookmarkEnd w:id="158"/>
    <w:bookmarkEnd w:id="159"/>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w:t>
      </w:r>
      <w:r>
        <w:rPr>
          <w:rFonts w:hint="eastAsia" w:ascii="宋体" w:hAnsi="宋体"/>
          <w:kern w:val="0"/>
          <w:sz w:val="24"/>
        </w:rPr>
        <w:t>当事人</w:t>
      </w:r>
      <w:r>
        <w:rPr>
          <w:rFonts w:ascii="宋体" w:hAnsi="宋体"/>
          <w:kern w:val="0"/>
          <w:sz w:val="24"/>
        </w:rPr>
        <w:t>进行</w:t>
      </w:r>
      <w:r>
        <w:rPr>
          <w:rFonts w:hint="eastAsia" w:ascii="宋体" w:hAnsi="宋体"/>
          <w:kern w:val="0"/>
          <w:sz w:val="24"/>
        </w:rPr>
        <w:t>商定</w:t>
      </w:r>
      <w:r>
        <w:rPr>
          <w:rFonts w:ascii="宋体" w:hAnsi="宋体"/>
          <w:kern w:val="0"/>
          <w:sz w:val="24"/>
        </w:rPr>
        <w:t>或确定时，总监理工程师应当会同合同当事人尽量通过协商达成一致，不能达成一致的，由总监理工程师按照合同约定审慎做出公正的确定。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约定处理。争议解决前，合同当事人暂按总监理工程师的确定执行；争议解决后，争议解决的结果与总监理工程师的确定不一致的，按照争议解决的结果执行，由此造成的损失由责任人承担。</w:t>
      </w:r>
    </w:p>
    <w:p>
      <w:pPr>
        <w:pStyle w:val="6"/>
        <w:ind w:left="103" w:leftChars="0" w:firstLineChars="0"/>
      </w:pPr>
      <w:bookmarkStart w:id="160" w:name="_Toc18683172"/>
      <w:r>
        <w:t>5</w:t>
      </w:r>
      <w:bookmarkStart w:id="161" w:name="_Toc337558758"/>
      <w:r>
        <w:t>. 工程质量</w:t>
      </w:r>
      <w:bookmarkEnd w:id="160"/>
    </w:p>
    <w:bookmarkEnd w:id="161"/>
    <w:p>
      <w:pPr>
        <w:pStyle w:val="7"/>
        <w:ind w:firstLine="420"/>
        <w:rPr>
          <w:bCs w:val="0"/>
        </w:rPr>
      </w:pPr>
      <w:bookmarkStart w:id="162" w:name="_Toc18683173"/>
      <w:r>
        <w:rPr>
          <w:bCs w:val="0"/>
        </w:rPr>
        <w:t>5</w:t>
      </w:r>
      <w:bookmarkStart w:id="163" w:name="_Toc337558759"/>
      <w:r>
        <w:rPr>
          <w:bCs w:val="0"/>
        </w:rPr>
        <w:t>.1质量要求</w:t>
      </w:r>
      <w:bookmarkEnd w:id="162"/>
    </w:p>
    <w:bookmarkEnd w:id="163"/>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5.1.3 因承包人原因造成工程质量未达到合同约定标准的，发包人有权要求承包人返工直至工程质量达到合同约定的标准为止，并由承包人承担由此增加的费用和（或）延误的工期。</w:t>
      </w:r>
    </w:p>
    <w:p>
      <w:pPr>
        <w:pStyle w:val="7"/>
        <w:ind w:firstLine="420"/>
        <w:rPr>
          <w:bCs w:val="0"/>
        </w:rPr>
      </w:pPr>
      <w:bookmarkStart w:id="164" w:name="_Toc18683174"/>
      <w:r>
        <w:rPr>
          <w:bCs w:val="0"/>
        </w:rPr>
        <w:t>5</w:t>
      </w:r>
      <w:bookmarkStart w:id="165" w:name="_Toc337558760"/>
      <w:r>
        <w:rPr>
          <w:bCs w:val="0"/>
        </w:rPr>
        <w:t>.2质量保证措施</w:t>
      </w:r>
      <w:bookmarkEnd w:id="164"/>
    </w:p>
    <w:bookmarkEnd w:id="165"/>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5.2.1 发包人的质量管理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发包人应按照法律规定及合同约定完成与工程质量有关的各项工作。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5.2.2 承包人的质量管理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承包人应对施工人员进行质量教育和技术培训，定期考核施工人员的劳动技能，严格执行施工规范和操作规程。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5.2.3 监理人的质量检查和检验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ind w:firstLine="420"/>
        <w:rPr>
          <w:bCs w:val="0"/>
        </w:rPr>
      </w:pPr>
      <w:bookmarkStart w:id="166" w:name="_Toc18683175"/>
      <w:r>
        <w:rPr>
          <w:bCs w:val="0"/>
        </w:rPr>
        <w:t>5</w:t>
      </w:r>
      <w:bookmarkStart w:id="167" w:name="_Toc337558761"/>
      <w:r>
        <w:rPr>
          <w:bCs w:val="0"/>
        </w:rPr>
        <w:t>.3 隐蔽工程检查</w:t>
      </w:r>
      <w:bookmarkEnd w:id="166"/>
    </w:p>
    <w:bookmarkEnd w:id="167"/>
    <w:p>
      <w:pPr>
        <w:spacing w:line="360" w:lineRule="exact"/>
        <w:ind w:firstLine="480"/>
        <w:jc w:val="left"/>
        <w:rPr>
          <w:rFonts w:ascii="宋体" w:hAnsi="宋体"/>
          <w:kern w:val="0"/>
          <w:sz w:val="24"/>
        </w:rPr>
      </w:pPr>
      <w:r>
        <w:rPr>
          <w:rFonts w:ascii="宋体" w:hAnsi="宋体"/>
          <w:kern w:val="0"/>
          <w:sz w:val="24"/>
        </w:rPr>
        <w:t>5.3.1承包人自检</w:t>
      </w:r>
    </w:p>
    <w:p>
      <w:pPr>
        <w:spacing w:line="360" w:lineRule="exact"/>
        <w:ind w:firstLine="480"/>
        <w:jc w:val="left"/>
        <w:rPr>
          <w:rFonts w:ascii="宋体" w:hAnsi="宋体"/>
          <w:kern w:val="0"/>
          <w:sz w:val="24"/>
        </w:rPr>
      </w:pPr>
      <w:r>
        <w:rPr>
          <w:rFonts w:ascii="宋体" w:hAnsi="宋体"/>
          <w:kern w:val="0"/>
          <w:sz w:val="24"/>
        </w:rPr>
        <w:t>承包人应当对工程隐蔽部位进行自检，并经自检确认是否具备覆盖条件。</w:t>
      </w:r>
    </w:p>
    <w:p>
      <w:pPr>
        <w:spacing w:line="360" w:lineRule="exact"/>
        <w:ind w:firstLine="480"/>
        <w:jc w:val="left"/>
        <w:rPr>
          <w:rFonts w:ascii="宋体" w:hAnsi="宋体"/>
          <w:kern w:val="0"/>
          <w:sz w:val="24"/>
        </w:rPr>
      </w:pPr>
      <w:r>
        <w:rPr>
          <w:rFonts w:ascii="宋体" w:hAnsi="宋体"/>
          <w:kern w:val="0"/>
          <w:sz w:val="24"/>
        </w:rPr>
        <w:t>5.3.2检查程序</w:t>
      </w:r>
    </w:p>
    <w:p>
      <w:pPr>
        <w:spacing w:line="360" w:lineRule="exact"/>
        <w:ind w:firstLine="480"/>
        <w:jc w:val="left"/>
        <w:rPr>
          <w:rFonts w:ascii="宋体" w:hAnsi="宋体"/>
          <w:kern w:val="0"/>
          <w:sz w:val="24"/>
        </w:rPr>
      </w:pPr>
      <w:r>
        <w:rPr>
          <w:rFonts w:ascii="宋体" w:hAnsi="宋体"/>
          <w:kern w:val="0"/>
          <w:sz w:val="24"/>
        </w:rPr>
        <w:t>除专用合同条款另有约定外，工程隐蔽部位经承包人自检确认具备覆盖条件的，承包人应在</w:t>
      </w:r>
      <w:r>
        <w:rPr>
          <w:rFonts w:hint="eastAsia" w:ascii="宋体" w:hAnsi="宋体"/>
          <w:kern w:val="0"/>
          <w:sz w:val="24"/>
        </w:rPr>
        <w:t>共同</w:t>
      </w:r>
      <w:r>
        <w:rPr>
          <w:rFonts w:ascii="宋体" w:hAnsi="宋体"/>
          <w:kern w:val="0"/>
          <w:sz w:val="24"/>
        </w:rPr>
        <w:t>检查前48小时书面通知监理人检查，通知中应载明隐蔽检查的内容、时间和地点，并应附有自检记录和必要的检查资料。</w:t>
      </w:r>
    </w:p>
    <w:p>
      <w:pPr>
        <w:spacing w:line="360" w:lineRule="exact"/>
        <w:ind w:firstLine="480"/>
        <w:jc w:val="left"/>
        <w:rPr>
          <w:rFonts w:ascii="宋体" w:hAnsi="宋体"/>
          <w:kern w:val="0"/>
          <w:sz w:val="24"/>
        </w:rPr>
      </w:pPr>
      <w:r>
        <w:rPr>
          <w:rFonts w:ascii="宋体" w:hAnsi="宋体"/>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kern w:val="0"/>
          <w:sz w:val="24"/>
        </w:rPr>
        <w:t>〔</w:t>
      </w:r>
      <w:r>
        <w:rPr>
          <w:rFonts w:ascii="宋体" w:hAnsi="宋体"/>
          <w:kern w:val="0"/>
          <w:sz w:val="24"/>
        </w:rPr>
        <w:t>重新检查</w:t>
      </w:r>
      <w:r>
        <w:rPr>
          <w:rFonts w:hint="eastAsia" w:ascii="宋体" w:hAnsi="宋体"/>
          <w:kern w:val="0"/>
          <w:sz w:val="24"/>
        </w:rPr>
        <w:t>〕</w:t>
      </w:r>
      <w:r>
        <w:rPr>
          <w:rFonts w:ascii="宋体" w:hAnsi="宋体"/>
          <w:kern w:val="0"/>
          <w:sz w:val="24"/>
        </w:rPr>
        <w:t>的约定重新检查。</w:t>
      </w:r>
    </w:p>
    <w:p>
      <w:pPr>
        <w:spacing w:line="360" w:lineRule="exact"/>
        <w:ind w:firstLine="480"/>
        <w:jc w:val="left"/>
        <w:rPr>
          <w:rFonts w:ascii="宋体" w:hAnsi="宋体"/>
          <w:kern w:val="0"/>
          <w:sz w:val="24"/>
        </w:rPr>
      </w:pPr>
      <w:r>
        <w:rPr>
          <w:rFonts w:ascii="宋体" w:hAnsi="宋体"/>
          <w:kern w:val="0"/>
          <w:sz w:val="24"/>
        </w:rPr>
        <w:t>5.3.3 重新检查</w:t>
      </w:r>
    </w:p>
    <w:p>
      <w:pPr>
        <w:spacing w:line="360" w:lineRule="exact"/>
        <w:ind w:firstLine="480"/>
        <w:jc w:val="left"/>
        <w:rPr>
          <w:rFonts w:ascii="宋体" w:hAnsi="宋体"/>
          <w:kern w:val="0"/>
          <w:sz w:val="24"/>
        </w:rPr>
      </w:pPr>
      <w:r>
        <w:rPr>
          <w:rFonts w:ascii="宋体" w:hAnsi="宋体"/>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5.3.4 承包人私自覆盖</w:t>
      </w:r>
    </w:p>
    <w:p>
      <w:pPr>
        <w:spacing w:line="360" w:lineRule="exact"/>
        <w:ind w:firstLine="480"/>
        <w:jc w:val="left"/>
        <w:rPr>
          <w:rFonts w:ascii="宋体" w:hAnsi="宋体"/>
          <w:sz w:val="24"/>
        </w:rPr>
      </w:pPr>
      <w:r>
        <w:rPr>
          <w:rFonts w:ascii="宋体" w:hAnsi="宋体"/>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7"/>
        <w:ind w:firstLine="420"/>
        <w:rPr>
          <w:bCs w:val="0"/>
        </w:rPr>
      </w:pPr>
      <w:bookmarkStart w:id="168" w:name="_Toc18683176"/>
      <w:r>
        <w:rPr>
          <w:bCs w:val="0"/>
        </w:rPr>
        <w:t>5</w:t>
      </w:r>
      <w:bookmarkStart w:id="169" w:name="_Toc337558762"/>
      <w:r>
        <w:rPr>
          <w:bCs w:val="0"/>
        </w:rPr>
        <w:t>.4不合格工程的处理</w:t>
      </w:r>
      <w:bookmarkEnd w:id="168"/>
    </w:p>
    <w:bookmarkEnd w:id="169"/>
    <w:p>
      <w:pPr>
        <w:spacing w:line="360" w:lineRule="exact"/>
        <w:ind w:firstLine="480"/>
        <w:jc w:val="left"/>
        <w:rPr>
          <w:rFonts w:ascii="宋体" w:hAnsi="宋体"/>
          <w:kern w:val="0"/>
          <w:sz w:val="24"/>
        </w:rPr>
      </w:pPr>
      <w:r>
        <w:rPr>
          <w:rFonts w:ascii="宋体" w:hAnsi="宋体"/>
          <w:kern w:val="0"/>
          <w:sz w:val="24"/>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kern w:val="0"/>
          <w:sz w:val="24"/>
        </w:rPr>
        <w:t>〔</w:t>
      </w:r>
      <w:r>
        <w:rPr>
          <w:rFonts w:ascii="宋体" w:hAnsi="宋体"/>
          <w:kern w:val="0"/>
          <w:sz w:val="24"/>
        </w:rPr>
        <w:t>拒绝接收全部或部分工程</w:t>
      </w:r>
      <w:r>
        <w:rPr>
          <w:rFonts w:hint="eastAsia" w:ascii="宋体" w:hAnsi="宋体"/>
          <w:kern w:val="0"/>
          <w:sz w:val="24"/>
        </w:rPr>
        <w:t>〕</w:t>
      </w:r>
      <w:r>
        <w:rPr>
          <w:rFonts w:ascii="宋体" w:hAnsi="宋体"/>
          <w:kern w:val="0"/>
          <w:sz w:val="24"/>
        </w:rPr>
        <w:t xml:space="preserve">约定执行。 </w:t>
      </w:r>
    </w:p>
    <w:p>
      <w:pPr>
        <w:spacing w:line="360" w:lineRule="exact"/>
        <w:ind w:firstLine="480"/>
        <w:jc w:val="left"/>
        <w:rPr>
          <w:rFonts w:ascii="宋体" w:hAnsi="宋体"/>
          <w:kern w:val="0"/>
          <w:sz w:val="24"/>
        </w:rPr>
      </w:pPr>
      <w:r>
        <w:rPr>
          <w:rFonts w:ascii="宋体" w:hAnsi="宋体"/>
          <w:kern w:val="0"/>
          <w:sz w:val="24"/>
        </w:rPr>
        <w:t>5.4.2 因发包人原因造成工程不合格的，由此增加的费用和（或）延误的工期由发包人承担，并支付承包人合理的利润。</w:t>
      </w:r>
    </w:p>
    <w:p>
      <w:pPr>
        <w:pStyle w:val="7"/>
        <w:ind w:firstLine="420"/>
        <w:rPr>
          <w:bCs w:val="0"/>
        </w:rPr>
      </w:pPr>
      <w:bookmarkStart w:id="170" w:name="_Toc18683177"/>
      <w:r>
        <w:rPr>
          <w:bCs w:val="0"/>
        </w:rPr>
        <w:t>5.5 质量争议检测</w:t>
      </w:r>
      <w:bookmarkEnd w:id="170"/>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合同当事人对工程质量有争议的，由双方协商确定的工程质量检测机构鉴定，由此产生的费用及因此造成的损失，由责任方承担。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合同当事人均有责任的，由双方根据其责任分别承担。合同当事人无法达成一致的，按照第4.4款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执行。</w:t>
      </w:r>
    </w:p>
    <w:p>
      <w:pPr>
        <w:pStyle w:val="6"/>
        <w:ind w:left="103" w:leftChars="0" w:firstLineChars="0"/>
      </w:pPr>
      <w:bookmarkStart w:id="171" w:name="_Toc18683178"/>
      <w:r>
        <w:t>6</w:t>
      </w:r>
      <w:bookmarkStart w:id="172" w:name="_Toc337558763"/>
      <w:r>
        <w:t>. 安全文明施工与环境保护</w:t>
      </w:r>
      <w:bookmarkEnd w:id="171"/>
    </w:p>
    <w:bookmarkEnd w:id="172"/>
    <w:p>
      <w:pPr>
        <w:pStyle w:val="7"/>
        <w:ind w:firstLine="420"/>
        <w:rPr>
          <w:bCs w:val="0"/>
        </w:rPr>
      </w:pPr>
      <w:bookmarkStart w:id="173" w:name="_Toc18683179"/>
      <w:r>
        <w:rPr>
          <w:bCs w:val="0"/>
        </w:rPr>
        <w:t>6</w:t>
      </w:r>
      <w:bookmarkStart w:id="174" w:name="_Toc337558764"/>
      <w:r>
        <w:rPr>
          <w:bCs w:val="0"/>
        </w:rPr>
        <w:t>.1安全文明施工</w:t>
      </w:r>
      <w:bookmarkEnd w:id="173"/>
    </w:p>
    <w:bookmarkEnd w:id="174"/>
    <w:p>
      <w:pPr>
        <w:spacing w:line="360" w:lineRule="exact"/>
        <w:ind w:firstLine="480"/>
        <w:rPr>
          <w:rFonts w:ascii="宋体" w:hAnsi="宋体"/>
          <w:sz w:val="24"/>
        </w:rPr>
      </w:pPr>
      <w:r>
        <w:rPr>
          <w:rFonts w:ascii="宋体" w:hAnsi="宋体"/>
          <w:sz w:val="24"/>
        </w:rPr>
        <w:t>6.1.1安全生产要求</w:t>
      </w:r>
    </w:p>
    <w:p>
      <w:pPr>
        <w:spacing w:line="360" w:lineRule="exact"/>
        <w:ind w:firstLine="480"/>
        <w:rPr>
          <w:rFonts w:ascii="宋体" w:hAnsi="宋体"/>
          <w:sz w:val="24"/>
        </w:rPr>
      </w:pPr>
      <w:r>
        <w:rPr>
          <w:rFonts w:ascii="宋体" w:hAnsi="宋体"/>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exact"/>
        <w:ind w:firstLine="480"/>
        <w:rPr>
          <w:rFonts w:ascii="宋体" w:hAnsi="宋体"/>
          <w:sz w:val="24"/>
        </w:rPr>
      </w:pPr>
      <w:r>
        <w:rPr>
          <w:rFonts w:ascii="宋体" w:hAnsi="宋体"/>
          <w:sz w:val="24"/>
        </w:rPr>
        <w:t>在施工过程中，如遇到突发的地质变动、事先未知的地下施工障碍等影响施工安全的紧急情况，</w:t>
      </w:r>
      <w:r>
        <w:rPr>
          <w:rFonts w:hint="eastAsia" w:ascii="宋体" w:hAnsi="宋体"/>
          <w:sz w:val="24"/>
        </w:rPr>
        <w:t>承包人应及时报告监理人和发包人，</w:t>
      </w:r>
      <w:r>
        <w:rPr>
          <w:rFonts w:ascii="宋体" w:hAnsi="宋体"/>
          <w:sz w:val="24"/>
        </w:rPr>
        <w:t>发包人应当及时下令停工并报</w:t>
      </w:r>
      <w:r>
        <w:rPr>
          <w:rFonts w:ascii="宋体" w:hAnsi="宋体"/>
          <w:kern w:val="0"/>
          <w:sz w:val="24"/>
        </w:rPr>
        <w:t>政府有关行政管理部门</w:t>
      </w:r>
      <w:r>
        <w:rPr>
          <w:rFonts w:ascii="宋体" w:hAnsi="宋体"/>
          <w:sz w:val="24"/>
        </w:rPr>
        <w:t>采取应急措施。</w:t>
      </w:r>
    </w:p>
    <w:p>
      <w:pPr>
        <w:spacing w:line="360" w:lineRule="exact"/>
        <w:ind w:firstLine="480"/>
        <w:rPr>
          <w:rFonts w:ascii="宋体" w:hAnsi="宋体"/>
          <w:sz w:val="24"/>
        </w:rPr>
      </w:pPr>
      <w:r>
        <w:rPr>
          <w:rFonts w:ascii="宋体" w:hAnsi="宋体"/>
          <w:sz w:val="24"/>
        </w:rPr>
        <w:t>因安全生产需要暂停施工的，按照第7.8款</w:t>
      </w:r>
      <w:r>
        <w:rPr>
          <w:rFonts w:hint="eastAsia" w:ascii="宋体" w:hAnsi="宋体"/>
          <w:sz w:val="24"/>
        </w:rPr>
        <w:t>〔</w:t>
      </w:r>
      <w:r>
        <w:rPr>
          <w:rFonts w:ascii="宋体" w:hAnsi="宋体"/>
          <w:sz w:val="24"/>
        </w:rPr>
        <w:t>暂停施工</w:t>
      </w:r>
      <w:r>
        <w:rPr>
          <w:rFonts w:hint="eastAsia" w:ascii="宋体" w:hAnsi="宋体"/>
          <w:sz w:val="24"/>
        </w:rPr>
        <w:t>〕</w:t>
      </w:r>
      <w:r>
        <w:rPr>
          <w:rFonts w:ascii="宋体" w:hAnsi="宋体"/>
          <w:sz w:val="24"/>
        </w:rPr>
        <w:t>的约定执行。</w:t>
      </w:r>
    </w:p>
    <w:p>
      <w:pPr>
        <w:spacing w:line="360" w:lineRule="exact"/>
        <w:ind w:firstLine="480"/>
        <w:rPr>
          <w:rFonts w:ascii="宋体" w:hAnsi="宋体"/>
          <w:sz w:val="24"/>
        </w:rPr>
      </w:pPr>
      <w:r>
        <w:rPr>
          <w:rFonts w:ascii="宋体" w:hAnsi="宋体"/>
          <w:sz w:val="24"/>
        </w:rPr>
        <w:t>6.1.2 安全生产保证措施</w:t>
      </w:r>
    </w:p>
    <w:p>
      <w:pPr>
        <w:autoSpaceDE w:val="0"/>
        <w:autoSpaceDN w:val="0"/>
        <w:adjustRightInd w:val="0"/>
        <w:spacing w:line="360" w:lineRule="exact"/>
        <w:ind w:firstLine="480"/>
        <w:jc w:val="left"/>
        <w:rPr>
          <w:rFonts w:ascii="宋体" w:hAnsi="宋体"/>
          <w:kern w:val="0"/>
          <w:sz w:val="24"/>
        </w:rPr>
      </w:pPr>
      <w:r>
        <w:rPr>
          <w:rFonts w:ascii="宋体" w:hAnsi="宋体"/>
          <w:sz w:val="24"/>
        </w:rPr>
        <w:t>承包人应当按照有关</w:t>
      </w:r>
      <w:r>
        <w:rPr>
          <w:rFonts w:ascii="宋体" w:hAnsi="宋体"/>
          <w:kern w:val="0"/>
          <w:sz w:val="24"/>
        </w:rPr>
        <w:t>规定编制安全技术措施或者专项施工方案，</w:t>
      </w:r>
      <w:r>
        <w:rPr>
          <w:rFonts w:ascii="宋体" w:hAnsi="宋体"/>
          <w:sz w:val="24"/>
        </w:rPr>
        <w:t>建立安全生产责任制度、治安保卫制度及安全生产教育培训制度，并</w:t>
      </w:r>
      <w:r>
        <w:rPr>
          <w:rFonts w:ascii="宋体" w:hAnsi="宋体"/>
          <w:kern w:val="0"/>
          <w:sz w:val="24"/>
        </w:rPr>
        <w:t>按安全生产法律规定及合同约定履行安全职责，</w:t>
      </w:r>
      <w:r>
        <w:rPr>
          <w:rFonts w:hint="eastAsia" w:ascii="宋体" w:hAnsi="宋体"/>
          <w:kern w:val="0"/>
          <w:sz w:val="24"/>
        </w:rPr>
        <w:t>如实</w:t>
      </w:r>
      <w:r>
        <w:rPr>
          <w:rFonts w:ascii="宋体" w:hAnsi="宋体"/>
          <w:sz w:val="24"/>
        </w:rPr>
        <w:t>编制工程安全生产的有关记录，</w:t>
      </w:r>
      <w:r>
        <w:rPr>
          <w:rFonts w:ascii="宋体" w:hAnsi="宋体"/>
          <w:kern w:val="0"/>
          <w:sz w:val="24"/>
        </w:rPr>
        <w:t>接受发包人、监理人及政府安全监督部门的检查与监督。</w:t>
      </w:r>
    </w:p>
    <w:p>
      <w:pPr>
        <w:spacing w:line="360" w:lineRule="exact"/>
        <w:ind w:firstLine="480"/>
        <w:rPr>
          <w:rFonts w:ascii="宋体" w:hAnsi="宋体"/>
          <w:sz w:val="24"/>
        </w:rPr>
      </w:pPr>
      <w:r>
        <w:rPr>
          <w:rFonts w:ascii="宋体" w:hAnsi="宋体"/>
          <w:sz w:val="24"/>
        </w:rPr>
        <w:t>6.1.3特别安全生产事项</w:t>
      </w:r>
    </w:p>
    <w:p>
      <w:pPr>
        <w:spacing w:line="360" w:lineRule="exact"/>
        <w:ind w:firstLine="480"/>
        <w:rPr>
          <w:rFonts w:ascii="宋体" w:hAnsi="宋体"/>
          <w:sz w:val="24"/>
        </w:rPr>
      </w:pPr>
      <w:r>
        <w:rPr>
          <w:rFonts w:ascii="宋体" w:hAnsi="宋体"/>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exact"/>
        <w:ind w:firstLine="480"/>
        <w:rPr>
          <w:rFonts w:ascii="宋体" w:hAnsi="宋体"/>
          <w:sz w:val="24"/>
        </w:rPr>
      </w:pPr>
      <w:r>
        <w:rPr>
          <w:rFonts w:ascii="宋体" w:hAnsi="宋体"/>
          <w:sz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exact"/>
        <w:ind w:firstLine="480"/>
        <w:rPr>
          <w:rFonts w:ascii="宋体" w:hAnsi="宋体"/>
          <w:sz w:val="24"/>
        </w:rPr>
      </w:pPr>
      <w:r>
        <w:rPr>
          <w:rFonts w:ascii="宋体" w:hAnsi="宋体"/>
          <w:sz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exact"/>
        <w:ind w:firstLine="480"/>
        <w:rPr>
          <w:rFonts w:ascii="宋体" w:hAnsi="宋体"/>
          <w:sz w:val="24"/>
        </w:rPr>
      </w:pPr>
      <w:r>
        <w:rPr>
          <w:rFonts w:ascii="宋体" w:hAnsi="宋体"/>
          <w:sz w:val="24"/>
        </w:rPr>
        <w:t>需单独编制危险性较大分部分项专项工程施工方案的，及要求进行专家论证的超过一定规模的危险性较大的分部分项工程，承包人应及时编制和组织论证。</w:t>
      </w:r>
    </w:p>
    <w:p>
      <w:pPr>
        <w:spacing w:line="360" w:lineRule="exact"/>
        <w:ind w:firstLine="480"/>
        <w:rPr>
          <w:rFonts w:ascii="宋体" w:hAnsi="宋体"/>
          <w:sz w:val="24"/>
        </w:rPr>
      </w:pPr>
      <w:r>
        <w:rPr>
          <w:rFonts w:ascii="宋体" w:hAnsi="宋体"/>
          <w:sz w:val="24"/>
        </w:rPr>
        <w:t>6.1.4 治安保卫</w:t>
      </w:r>
    </w:p>
    <w:p>
      <w:pPr>
        <w:spacing w:line="360" w:lineRule="exact"/>
        <w:ind w:firstLine="480"/>
        <w:rPr>
          <w:rFonts w:ascii="宋体" w:hAnsi="宋体"/>
          <w:sz w:val="24"/>
        </w:rPr>
      </w:pPr>
      <w:r>
        <w:rPr>
          <w:rFonts w:ascii="宋体" w:hAnsi="宋体"/>
          <w:sz w:val="24"/>
        </w:rPr>
        <w:t>除专用合同条款另有约定外，发包人应与当地公安部门协商，在现场建立治安管理机构或联防组织，统一管理施工场地的治安保卫事项，履行合同工程的治安保卫职责。</w:t>
      </w:r>
    </w:p>
    <w:p>
      <w:pPr>
        <w:spacing w:line="360" w:lineRule="exact"/>
        <w:ind w:firstLine="480"/>
        <w:rPr>
          <w:rFonts w:ascii="宋体" w:hAnsi="宋体"/>
          <w:sz w:val="24"/>
        </w:rPr>
      </w:pPr>
      <w:r>
        <w:rPr>
          <w:rFonts w:ascii="宋体" w:hAnsi="宋体"/>
          <w:sz w:val="24"/>
        </w:rPr>
        <w:t>发包人和承包人除应协助现场治安管理机构或联防组织维护施工场地的社会治安外，还应做好包括生活区在内的各自管辖区的治安保卫工作。</w:t>
      </w:r>
    </w:p>
    <w:p>
      <w:pPr>
        <w:spacing w:line="360" w:lineRule="exact"/>
        <w:ind w:firstLine="480"/>
        <w:rPr>
          <w:rFonts w:ascii="宋体" w:hAnsi="宋体"/>
          <w:sz w:val="24"/>
        </w:rPr>
      </w:pPr>
      <w:r>
        <w:rPr>
          <w:rFonts w:ascii="宋体" w:hAnsi="宋体"/>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sz w:val="24"/>
        </w:rPr>
        <w:t>和</w:t>
      </w:r>
      <w:r>
        <w:rPr>
          <w:rFonts w:ascii="宋体" w:hAnsi="宋体"/>
          <w:sz w:val="24"/>
        </w:rPr>
        <w:t>财产损失。</w:t>
      </w:r>
    </w:p>
    <w:p>
      <w:pPr>
        <w:spacing w:line="360" w:lineRule="exact"/>
        <w:ind w:firstLine="480"/>
        <w:rPr>
          <w:rFonts w:ascii="宋体" w:hAnsi="宋体"/>
          <w:kern w:val="0"/>
          <w:sz w:val="24"/>
        </w:rPr>
      </w:pPr>
      <w:r>
        <w:rPr>
          <w:rFonts w:ascii="宋体" w:hAnsi="宋体"/>
          <w:sz w:val="24"/>
        </w:rPr>
        <w:t>6.1.5 文明施工</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承包人在工程施工期间，应当采取措施保持施工现场平整，物料堆放整齐。工程所在地有关政府行政管理部门有特殊要求的，按照其要求执行。</w:t>
      </w:r>
      <w:r>
        <w:rPr>
          <w:rFonts w:hint="eastAsia" w:ascii="宋体" w:hAnsi="宋体"/>
          <w:kern w:val="0"/>
          <w:sz w:val="24"/>
        </w:rPr>
        <w:t>合同当事人对文明施工有其他要求的，可以在专用合同条款中明确。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exact"/>
        <w:ind w:firstLine="480"/>
        <w:rPr>
          <w:rFonts w:ascii="宋体" w:hAnsi="宋体"/>
          <w:sz w:val="24"/>
        </w:rPr>
      </w:pPr>
      <w:r>
        <w:rPr>
          <w:rFonts w:ascii="宋体" w:hAnsi="宋体"/>
          <w:sz w:val="24"/>
        </w:rPr>
        <w:t>6.1.6 安全文明施工费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exact"/>
        <w:ind w:firstLine="480"/>
        <w:jc w:val="left"/>
        <w:rPr>
          <w:rFonts w:ascii="宋体" w:hAnsi="宋体"/>
          <w:kern w:val="0"/>
          <w:sz w:val="24"/>
        </w:rPr>
      </w:pPr>
      <w:r>
        <w:rPr>
          <w:rFonts w:ascii="宋体" w:hAnsi="宋体"/>
          <w:kern w:val="0"/>
          <w:sz w:val="24"/>
        </w:rPr>
        <w:t>6.1.7 紧急情况</w:t>
      </w:r>
      <w:r>
        <w:rPr>
          <w:rFonts w:hint="eastAsia" w:ascii="宋体" w:hAnsi="宋体"/>
          <w:kern w:val="0"/>
          <w:sz w:val="24"/>
        </w:rPr>
        <w:t>处理</w:t>
      </w:r>
    </w:p>
    <w:p>
      <w:pPr>
        <w:spacing w:line="360" w:lineRule="exact"/>
        <w:ind w:firstLine="480"/>
        <w:jc w:val="left"/>
        <w:rPr>
          <w:rFonts w:ascii="宋体" w:hAnsi="宋体"/>
          <w:kern w:val="0"/>
          <w:sz w:val="24"/>
        </w:rPr>
      </w:pPr>
      <w:r>
        <w:rPr>
          <w:rFonts w:ascii="宋体" w:hAnsi="宋体"/>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6.1.8 事故处理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 安全生产责任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6.1.9.1 发包人的安全责任</w:t>
      </w:r>
    </w:p>
    <w:p>
      <w:pPr>
        <w:spacing w:line="360" w:lineRule="exact"/>
        <w:ind w:firstLine="480"/>
        <w:rPr>
          <w:rFonts w:ascii="宋体" w:hAnsi="宋体"/>
          <w:sz w:val="24"/>
        </w:rPr>
      </w:pPr>
      <w:r>
        <w:rPr>
          <w:rFonts w:ascii="宋体" w:hAnsi="宋体"/>
          <w:sz w:val="24"/>
        </w:rPr>
        <w:t>发包人应负责赔偿以下各种情况造成</w:t>
      </w:r>
      <w:r>
        <w:rPr>
          <w:rFonts w:hint="eastAsia" w:ascii="宋体" w:hAnsi="宋体"/>
          <w:sz w:val="24"/>
        </w:rPr>
        <w:t>的</w:t>
      </w:r>
      <w:r>
        <w:rPr>
          <w:rFonts w:ascii="宋体" w:hAnsi="宋体"/>
          <w:sz w:val="24"/>
        </w:rPr>
        <w:t>损失：</w:t>
      </w:r>
    </w:p>
    <w:p>
      <w:pPr>
        <w:spacing w:line="360" w:lineRule="exact"/>
        <w:ind w:firstLine="480"/>
        <w:rPr>
          <w:rFonts w:ascii="宋体" w:hAnsi="宋体"/>
          <w:sz w:val="24"/>
        </w:rPr>
      </w:pPr>
      <w:r>
        <w:rPr>
          <w:rFonts w:ascii="宋体" w:hAnsi="宋体"/>
          <w:sz w:val="24"/>
        </w:rPr>
        <w:t>（1）工程或工程的任何部分对土地的占用所造成的第三者财产损失；</w:t>
      </w:r>
    </w:p>
    <w:p>
      <w:pPr>
        <w:spacing w:line="360" w:lineRule="exact"/>
        <w:ind w:firstLine="480"/>
        <w:rPr>
          <w:rFonts w:ascii="宋体" w:hAnsi="宋体"/>
          <w:sz w:val="24"/>
        </w:rPr>
      </w:pPr>
      <w:r>
        <w:rPr>
          <w:rFonts w:ascii="宋体" w:hAnsi="宋体"/>
          <w:sz w:val="24"/>
        </w:rPr>
        <w:t>（2）由于发包人原因在施工场地及其毗邻地带造成的第三者人身伤亡和财产损失</w:t>
      </w:r>
      <w:r>
        <w:rPr>
          <w:rFonts w:hint="eastAsia" w:ascii="宋体" w:hAnsi="宋体"/>
          <w:sz w:val="24"/>
        </w:rPr>
        <w:t>；</w:t>
      </w:r>
    </w:p>
    <w:p>
      <w:pPr>
        <w:spacing w:line="360" w:lineRule="exact"/>
        <w:ind w:firstLine="480"/>
        <w:rPr>
          <w:rFonts w:ascii="宋体" w:hAnsi="宋体"/>
          <w:sz w:val="24"/>
        </w:rPr>
      </w:pPr>
      <w:r>
        <w:rPr>
          <w:rFonts w:hint="eastAsia" w:ascii="宋体" w:hAnsi="宋体"/>
          <w:sz w:val="24"/>
        </w:rPr>
        <w:t>（3）由于发包人原因对承包人、监理人造成的人员人身伤亡和财产损失；</w:t>
      </w:r>
    </w:p>
    <w:p>
      <w:pPr>
        <w:spacing w:line="360" w:lineRule="exact"/>
        <w:ind w:firstLine="480"/>
        <w:rPr>
          <w:rFonts w:ascii="宋体" w:hAnsi="宋体"/>
          <w:sz w:val="24"/>
        </w:rPr>
      </w:pPr>
      <w:r>
        <w:rPr>
          <w:rFonts w:hint="eastAsia" w:ascii="宋体" w:hAnsi="宋体"/>
          <w:sz w:val="24"/>
        </w:rPr>
        <w:t>（4）由于发包人原因造成的发包人自身人员的人身伤害以及财产损失。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6.1.9.2 承包人的安全责任</w:t>
      </w:r>
    </w:p>
    <w:p>
      <w:pPr>
        <w:spacing w:line="360" w:lineRule="exact"/>
        <w:ind w:firstLine="480"/>
        <w:rPr>
          <w:rFonts w:ascii="宋体" w:hAnsi="宋体"/>
          <w:kern w:val="0"/>
          <w:sz w:val="24"/>
        </w:rPr>
      </w:pPr>
      <w:r>
        <w:rPr>
          <w:rFonts w:ascii="宋体" w:hAnsi="宋体"/>
          <w:sz w:val="24"/>
        </w:rPr>
        <w:t>由于承包人原因在施工场地内及其毗邻地带造成的</w:t>
      </w:r>
      <w:r>
        <w:rPr>
          <w:rFonts w:hint="eastAsia" w:ascii="宋体" w:hAnsi="宋体"/>
          <w:sz w:val="24"/>
        </w:rPr>
        <w:t>发包人、监理人以及</w:t>
      </w:r>
      <w:r>
        <w:rPr>
          <w:rFonts w:ascii="宋体" w:hAnsi="宋体"/>
          <w:sz w:val="24"/>
        </w:rPr>
        <w:t>第三者人员伤亡和财产损失，由承包人负责赔偿。</w:t>
      </w:r>
    </w:p>
    <w:p>
      <w:pPr>
        <w:pStyle w:val="7"/>
        <w:ind w:firstLine="420"/>
        <w:rPr>
          <w:bCs w:val="0"/>
        </w:rPr>
      </w:pPr>
      <w:bookmarkStart w:id="175" w:name="_Toc18683180"/>
      <w:r>
        <w:rPr>
          <w:bCs w:val="0"/>
        </w:rPr>
        <w:t>6</w:t>
      </w:r>
      <w:bookmarkStart w:id="176" w:name="_Toc337558765"/>
      <w:r>
        <w:rPr>
          <w:bCs w:val="0"/>
        </w:rPr>
        <w:t>.2 职业健康</w:t>
      </w:r>
      <w:bookmarkEnd w:id="175"/>
    </w:p>
    <w:bookmarkEnd w:id="176"/>
    <w:p>
      <w:pPr>
        <w:autoSpaceDE w:val="0"/>
        <w:autoSpaceDN w:val="0"/>
        <w:adjustRightInd w:val="0"/>
        <w:spacing w:line="360" w:lineRule="exact"/>
        <w:ind w:firstLine="480"/>
        <w:jc w:val="left"/>
        <w:rPr>
          <w:rFonts w:ascii="宋体" w:hAnsi="宋体"/>
          <w:kern w:val="0"/>
          <w:sz w:val="24"/>
        </w:rPr>
      </w:pPr>
      <w:r>
        <w:rPr>
          <w:rFonts w:ascii="宋体" w:hAnsi="宋体"/>
          <w:kern w:val="0"/>
          <w:sz w:val="24"/>
        </w:rPr>
        <w:t>6.2.1 劳动保护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w:t>
      </w:r>
      <w:r>
        <w:rPr>
          <w:rFonts w:hint="eastAsia" w:ascii="宋体" w:hAnsi="宋体"/>
          <w:kern w:val="0"/>
          <w:sz w:val="24"/>
        </w:rPr>
        <w:t>法律</w:t>
      </w:r>
      <w:r>
        <w:rPr>
          <w:rFonts w:ascii="宋体" w:hAnsi="宋体"/>
          <w:kern w:val="0"/>
          <w:sz w:val="24"/>
        </w:rPr>
        <w:t>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6.2.2 生活条件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ind w:firstLine="420"/>
        <w:rPr>
          <w:bCs w:val="0"/>
        </w:rPr>
      </w:pPr>
      <w:bookmarkStart w:id="177" w:name="_Toc18683181"/>
      <w:r>
        <w:rPr>
          <w:bCs w:val="0"/>
        </w:rPr>
        <w:t>6</w:t>
      </w:r>
      <w:bookmarkStart w:id="178" w:name="_Toc337558766"/>
      <w:r>
        <w:rPr>
          <w:bCs w:val="0"/>
        </w:rPr>
        <w:t>.3 环境保护</w:t>
      </w:r>
      <w:bookmarkEnd w:id="177"/>
    </w:p>
    <w:bookmarkEnd w:id="178"/>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承包人应当承担因其原因引起的环境污染侵权损害赔偿责任，因上述环境污染引起纠纷而导致暂停施工的，由此增加的费用和（或）延误的工期由承包人承担。</w:t>
      </w:r>
    </w:p>
    <w:p>
      <w:pPr>
        <w:pStyle w:val="6"/>
        <w:ind w:left="103" w:leftChars="0" w:firstLineChars="0"/>
      </w:pPr>
      <w:bookmarkStart w:id="179" w:name="_Toc18683182"/>
      <w:r>
        <w:t>7</w:t>
      </w:r>
      <w:bookmarkStart w:id="180" w:name="_Toc337558767"/>
      <w:r>
        <w:t>. 工期和进度</w:t>
      </w:r>
      <w:bookmarkEnd w:id="179"/>
    </w:p>
    <w:bookmarkEnd w:id="180"/>
    <w:p>
      <w:pPr>
        <w:pStyle w:val="7"/>
        <w:ind w:firstLine="420"/>
        <w:rPr>
          <w:bCs w:val="0"/>
        </w:rPr>
      </w:pPr>
      <w:bookmarkStart w:id="181" w:name="_Toc18683183"/>
      <w:r>
        <w:rPr>
          <w:bCs w:val="0"/>
        </w:rPr>
        <w:t>7</w:t>
      </w:r>
      <w:bookmarkStart w:id="182" w:name="_Toc337558768"/>
      <w:bookmarkStart w:id="183" w:name="_Toc296503066"/>
      <w:bookmarkStart w:id="184" w:name="_Toc296346567"/>
      <w:r>
        <w:rPr>
          <w:bCs w:val="0"/>
        </w:rPr>
        <w:t>.1施工组织设计</w:t>
      </w:r>
      <w:bookmarkEnd w:id="181"/>
    </w:p>
    <w:bookmarkEnd w:id="182"/>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7.1.1 </w:t>
      </w:r>
      <w:r>
        <w:rPr>
          <w:rFonts w:ascii="宋体" w:hAnsi="宋体"/>
          <w:kern w:val="0"/>
          <w:sz w:val="24"/>
        </w:rPr>
        <w:t>施工组织设计的内容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施工组织设计应包含以下内容：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（1）施工方案；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（2）施工现场平面布置图；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（3）施工进度计划和保证措施；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（4）劳动力及材料供应计划；</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（5）施工机械设备的选用；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（6）质量保证体系及措施；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（7）安全生产、文明施工措施；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（8）环境保护、成本控制措施</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（9）合同当事人约定的其他内容</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7.1.2 </w:t>
      </w:r>
      <w:r>
        <w:rPr>
          <w:rFonts w:ascii="宋体" w:hAnsi="宋体"/>
          <w:kern w:val="0"/>
          <w:sz w:val="24"/>
        </w:rPr>
        <w:t>施工组织设计的提交和修改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除专用合同条款另有约定外，承包人应在合同签订后14天内，但至迟不得晚于第7.3.2项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载明的开工日期前7天，向监理人提交详细的施工组织设计，并由监理人报送发包人。</w:t>
      </w:r>
      <w:r>
        <w:rPr>
          <w:rFonts w:hint="eastAsia" w:ascii="宋体" w:hAnsi="宋体"/>
          <w:kern w:val="0"/>
          <w:sz w:val="24"/>
        </w:rPr>
        <w:t>除专用合同条款另有约定外，发包人和监理人应在监理人收到施工组织设计后7天内确认或提出修改意见</w:t>
      </w:r>
      <w:r>
        <w:rPr>
          <w:rFonts w:ascii="宋体" w:hAnsi="宋体"/>
          <w:kern w:val="0"/>
          <w:sz w:val="24"/>
        </w:rPr>
        <w:t>。对发包人和监理人提出的合理意见和要求，承包人应自费修改完善。根据工程实际情况需要修改施工组织设计的，承包人应向发包人和监理人提交修改后的施工组织设计。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施工进度计划的编制和修改按照第7.2款</w:t>
      </w:r>
      <w:r>
        <w:rPr>
          <w:rFonts w:hint="eastAsia" w:ascii="宋体" w:hAnsi="宋体"/>
          <w:kern w:val="0"/>
          <w:sz w:val="24"/>
        </w:rPr>
        <w:t>〔</w:t>
      </w:r>
      <w:r>
        <w:rPr>
          <w:rFonts w:ascii="宋体" w:hAnsi="宋体"/>
          <w:kern w:val="0"/>
          <w:sz w:val="24"/>
        </w:rPr>
        <w:t>施工进度计划</w:t>
      </w:r>
      <w:r>
        <w:rPr>
          <w:rFonts w:hint="eastAsia" w:ascii="宋体" w:hAnsi="宋体"/>
          <w:kern w:val="0"/>
          <w:sz w:val="24"/>
        </w:rPr>
        <w:t>〕</w:t>
      </w:r>
      <w:r>
        <w:rPr>
          <w:rFonts w:ascii="宋体" w:hAnsi="宋体"/>
          <w:kern w:val="0"/>
          <w:sz w:val="24"/>
        </w:rPr>
        <w:t>执行。</w:t>
      </w:r>
    </w:p>
    <w:p>
      <w:pPr>
        <w:pStyle w:val="7"/>
        <w:spacing w:before="120" w:after="120"/>
        <w:ind w:firstLine="420"/>
        <w:rPr>
          <w:bCs w:val="0"/>
          <w:szCs w:val="24"/>
        </w:rPr>
      </w:pPr>
      <w:bookmarkStart w:id="185" w:name="_Toc18683184"/>
      <w:r>
        <w:rPr>
          <w:bCs w:val="0"/>
          <w:szCs w:val="24"/>
        </w:rPr>
        <w:t>7</w:t>
      </w:r>
      <w:bookmarkStart w:id="186" w:name="_Toc337558769"/>
      <w:r>
        <w:rPr>
          <w:bCs w:val="0"/>
          <w:szCs w:val="24"/>
        </w:rPr>
        <w:t>.2 施工进度计划</w:t>
      </w:r>
      <w:bookmarkEnd w:id="185"/>
    </w:p>
    <w:bookmarkEnd w:id="186"/>
    <w:p>
      <w:pPr>
        <w:autoSpaceDE w:val="0"/>
        <w:autoSpaceDN w:val="0"/>
        <w:adjustRightInd w:val="0"/>
        <w:spacing w:line="360" w:lineRule="exact"/>
        <w:ind w:firstLine="480"/>
        <w:jc w:val="left"/>
        <w:rPr>
          <w:rFonts w:ascii="宋体" w:hAnsi="宋体"/>
          <w:kern w:val="0"/>
          <w:sz w:val="24"/>
        </w:rPr>
      </w:pPr>
      <w:r>
        <w:rPr>
          <w:rFonts w:ascii="宋体" w:hAnsi="宋体"/>
          <w:kern w:val="0"/>
          <w:sz w:val="24"/>
        </w:rPr>
        <w:t>7.2.1 施工进度计划的编制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exact"/>
        <w:ind w:firstLine="480"/>
        <w:jc w:val="left"/>
        <w:rPr>
          <w:rFonts w:ascii="宋体" w:hAnsi="宋体"/>
          <w:kern w:val="0"/>
          <w:sz w:val="24"/>
        </w:rPr>
      </w:pPr>
      <w:r>
        <w:rPr>
          <w:rFonts w:ascii="宋体" w:hAnsi="宋体"/>
          <w:sz w:val="24"/>
        </w:rPr>
        <w:t>7.2.2 施工进度计划的修订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120" w:after="120"/>
        <w:ind w:firstLine="420"/>
        <w:rPr>
          <w:bCs w:val="0"/>
          <w:szCs w:val="24"/>
        </w:rPr>
      </w:pPr>
      <w:bookmarkStart w:id="187" w:name="_Toc18683185"/>
      <w:r>
        <w:rPr>
          <w:bCs w:val="0"/>
          <w:szCs w:val="24"/>
        </w:rPr>
        <w:t>7</w:t>
      </w:r>
      <w:bookmarkStart w:id="188" w:name="_Toc337558770"/>
      <w:r>
        <w:rPr>
          <w:bCs w:val="0"/>
          <w:szCs w:val="24"/>
        </w:rPr>
        <w:t>.3 开工</w:t>
      </w:r>
      <w:bookmarkEnd w:id="187"/>
    </w:p>
    <w:p>
      <w:pPr>
        <w:spacing w:line="360" w:lineRule="exact"/>
        <w:ind w:firstLine="480"/>
        <w:rPr>
          <w:rFonts w:ascii="宋体" w:hAnsi="宋体"/>
          <w:sz w:val="24"/>
        </w:rPr>
      </w:pPr>
      <w:r>
        <w:rPr>
          <w:rFonts w:ascii="宋体" w:hAnsi="宋体"/>
          <w:kern w:val="0"/>
          <w:sz w:val="24"/>
        </w:rPr>
        <w:t>7.3.1 开工准备</w:t>
      </w:r>
    </w:p>
    <w:p>
      <w:pPr>
        <w:spacing w:line="360" w:lineRule="exact"/>
        <w:ind w:firstLine="480"/>
        <w:jc w:val="left"/>
        <w:rPr>
          <w:rFonts w:ascii="宋体" w:hAnsi="宋体"/>
          <w:kern w:val="0"/>
          <w:sz w:val="24"/>
        </w:rPr>
      </w:pPr>
      <w:r>
        <w:rPr>
          <w:rFonts w:ascii="宋体" w:hAnsi="宋体"/>
          <w:kern w:val="0"/>
          <w:sz w:val="24"/>
        </w:rPr>
        <w:t>除专用合同条款另有约定外，承包人应按照第7.1款</w:t>
      </w:r>
      <w:r>
        <w:rPr>
          <w:rFonts w:hint="eastAsia" w:ascii="宋体" w:hAnsi="宋体"/>
          <w:kern w:val="0"/>
          <w:sz w:val="24"/>
        </w:rPr>
        <w:t>〔</w:t>
      </w:r>
      <w:r>
        <w:rPr>
          <w:rFonts w:ascii="宋体" w:hAnsi="宋体"/>
          <w:kern w:val="0"/>
          <w:sz w:val="24"/>
        </w:rPr>
        <w:t>施工组织设计</w:t>
      </w:r>
      <w:r>
        <w:rPr>
          <w:rFonts w:hint="eastAsia" w:ascii="宋体" w:hAnsi="宋体"/>
          <w:kern w:val="0"/>
          <w:sz w:val="24"/>
        </w:rPr>
        <w:t>〕</w:t>
      </w:r>
      <w:r>
        <w:rPr>
          <w:rFonts w:ascii="宋体" w:hAnsi="宋体"/>
          <w:kern w:val="0"/>
          <w:sz w:val="24"/>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exact"/>
        <w:ind w:firstLine="480"/>
        <w:jc w:val="left"/>
        <w:rPr>
          <w:rFonts w:ascii="宋体" w:hAnsi="宋体"/>
          <w:kern w:val="0"/>
          <w:sz w:val="24"/>
        </w:rPr>
      </w:pPr>
      <w:r>
        <w:rPr>
          <w:rFonts w:ascii="宋体" w:hAnsi="宋体"/>
          <w:kern w:val="0"/>
          <w:sz w:val="24"/>
        </w:rPr>
        <w:t>除专用合同条款另有约定外，合同当事人应按约定完成开工准备工作。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7.3.2 开工通知</w:t>
      </w:r>
    </w:p>
    <w:bookmarkEnd w:id="188"/>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exact"/>
        <w:ind w:firstLine="480"/>
        <w:jc w:val="left"/>
        <w:rPr>
          <w:rFonts w:ascii="宋体" w:hAnsi="宋体"/>
          <w:kern w:val="0"/>
          <w:sz w:val="24"/>
        </w:rPr>
      </w:pPr>
      <w:r>
        <w:rPr>
          <w:rFonts w:ascii="宋体" w:hAnsi="宋体"/>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120" w:after="120"/>
        <w:ind w:firstLine="420"/>
        <w:rPr>
          <w:bCs w:val="0"/>
          <w:szCs w:val="24"/>
        </w:rPr>
      </w:pPr>
      <w:bookmarkStart w:id="189" w:name="_Toc18683186"/>
      <w:r>
        <w:rPr>
          <w:bCs w:val="0"/>
          <w:szCs w:val="24"/>
        </w:rPr>
        <w:t>7.4测量放线</w:t>
      </w:r>
      <w:bookmarkEnd w:id="189"/>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7.4.1 除专用合同条款另有约定外，发包人应在至迟不得晚于第7.3.2项</w:t>
      </w:r>
      <w:r>
        <w:rPr>
          <w:rFonts w:hint="eastAsia" w:ascii="宋体" w:hAnsi="宋体"/>
          <w:kern w:val="0"/>
          <w:sz w:val="24"/>
        </w:rPr>
        <w:t>〔</w:t>
      </w:r>
      <w:r>
        <w:rPr>
          <w:rFonts w:ascii="宋体" w:hAnsi="宋体"/>
          <w:kern w:val="0"/>
          <w:sz w:val="24"/>
        </w:rPr>
        <w:t>开工通知</w:t>
      </w:r>
      <w:r>
        <w:rPr>
          <w:rFonts w:hint="eastAsia" w:ascii="宋体" w:hAnsi="宋体"/>
          <w:kern w:val="0"/>
          <w:sz w:val="24"/>
        </w:rPr>
        <w:t>〕</w:t>
      </w:r>
      <w:r>
        <w:rPr>
          <w:rFonts w:ascii="宋体" w:hAnsi="宋体"/>
          <w:kern w:val="0"/>
          <w:sz w:val="24"/>
        </w:rPr>
        <w:t>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施工过程中对施工现场内水准点等测量标志物的保护工作由承包人负责。</w:t>
      </w:r>
    </w:p>
    <w:p>
      <w:pPr>
        <w:pStyle w:val="7"/>
        <w:spacing w:before="120" w:after="120"/>
        <w:ind w:firstLine="420"/>
        <w:rPr>
          <w:bCs w:val="0"/>
          <w:szCs w:val="24"/>
        </w:rPr>
      </w:pPr>
      <w:bookmarkStart w:id="190" w:name="_Toc18683187"/>
      <w:r>
        <w:rPr>
          <w:bCs w:val="0"/>
          <w:szCs w:val="24"/>
        </w:rPr>
        <w:t>7</w:t>
      </w:r>
      <w:bookmarkEnd w:id="183"/>
      <w:bookmarkEnd w:id="184"/>
      <w:bookmarkStart w:id="191" w:name="_Toc337558772"/>
      <w:bookmarkStart w:id="192" w:name="_Toc296503073"/>
      <w:bookmarkStart w:id="193" w:name="_Toc296346574"/>
      <w:r>
        <w:rPr>
          <w:bCs w:val="0"/>
          <w:szCs w:val="24"/>
        </w:rPr>
        <w:t>.5工期延误</w:t>
      </w:r>
      <w:bookmarkEnd w:id="190"/>
    </w:p>
    <w:bookmarkEnd w:id="191"/>
    <w:bookmarkEnd w:id="192"/>
    <w:bookmarkEnd w:id="193"/>
    <w:p>
      <w:pPr>
        <w:spacing w:line="360" w:lineRule="exact"/>
        <w:ind w:firstLine="480"/>
        <w:jc w:val="left"/>
        <w:rPr>
          <w:rFonts w:ascii="宋体" w:hAnsi="宋体"/>
          <w:kern w:val="0"/>
          <w:sz w:val="24"/>
        </w:rPr>
      </w:pPr>
      <w:r>
        <w:rPr>
          <w:rFonts w:ascii="宋体" w:hAnsi="宋体"/>
          <w:kern w:val="0"/>
          <w:sz w:val="24"/>
        </w:rPr>
        <w:t>7.5.1 因发包人原因导致工期延误</w:t>
      </w:r>
    </w:p>
    <w:p>
      <w:pPr>
        <w:spacing w:line="360" w:lineRule="exact"/>
        <w:ind w:firstLine="480"/>
        <w:jc w:val="left"/>
        <w:rPr>
          <w:rFonts w:ascii="宋体" w:hAnsi="宋体"/>
          <w:kern w:val="0"/>
          <w:sz w:val="24"/>
        </w:rPr>
      </w:pPr>
      <w:r>
        <w:rPr>
          <w:rFonts w:ascii="宋体" w:hAnsi="宋体"/>
          <w:kern w:val="0"/>
          <w:sz w:val="24"/>
        </w:rPr>
        <w:t xml:space="preserve">在合同履行过程中，因下列情况导致工期延误和（或）费用增加的，由发包人承担由此延误的工期和（或）增加的费用，且发包人应支付承包人合理的利润： </w:t>
      </w:r>
    </w:p>
    <w:p>
      <w:pPr>
        <w:spacing w:line="360" w:lineRule="exact"/>
        <w:ind w:firstLine="480"/>
        <w:jc w:val="left"/>
        <w:rPr>
          <w:rFonts w:ascii="宋体" w:hAnsi="宋体"/>
          <w:kern w:val="0"/>
          <w:sz w:val="24"/>
        </w:rPr>
      </w:pPr>
      <w:r>
        <w:rPr>
          <w:rFonts w:ascii="宋体" w:hAnsi="宋体"/>
          <w:kern w:val="0"/>
          <w:sz w:val="24"/>
        </w:rPr>
        <w:t>（1）发包人未能按合同约定提供图纸或所提供图纸不符合合同约定的；</w:t>
      </w:r>
    </w:p>
    <w:p>
      <w:pPr>
        <w:spacing w:line="360" w:lineRule="exact"/>
        <w:ind w:firstLine="480"/>
        <w:jc w:val="left"/>
        <w:rPr>
          <w:rFonts w:ascii="宋体" w:hAnsi="宋体"/>
          <w:kern w:val="0"/>
          <w:sz w:val="24"/>
        </w:rPr>
      </w:pPr>
      <w:r>
        <w:rPr>
          <w:rFonts w:ascii="宋体" w:hAnsi="宋体"/>
          <w:kern w:val="0"/>
          <w:sz w:val="24"/>
        </w:rPr>
        <w:t>（2）发包人未能按合同约定提供施工现场、施工条件、基础资料、许可、批准等开工条件的；</w:t>
      </w:r>
    </w:p>
    <w:p>
      <w:pPr>
        <w:spacing w:line="360" w:lineRule="exact"/>
        <w:ind w:firstLine="480"/>
        <w:jc w:val="left"/>
        <w:rPr>
          <w:rFonts w:ascii="宋体" w:hAnsi="宋体"/>
          <w:kern w:val="0"/>
          <w:sz w:val="24"/>
        </w:rPr>
      </w:pPr>
      <w:r>
        <w:rPr>
          <w:rFonts w:ascii="宋体" w:hAnsi="宋体"/>
          <w:kern w:val="0"/>
          <w:sz w:val="24"/>
        </w:rPr>
        <w:t>（3）发包人提供的测量基准点、基准线和水准点及其书面资料存在错误或疏漏的；</w:t>
      </w:r>
    </w:p>
    <w:p>
      <w:pPr>
        <w:spacing w:line="360" w:lineRule="exact"/>
        <w:ind w:firstLine="480"/>
        <w:jc w:val="left"/>
        <w:rPr>
          <w:rFonts w:ascii="宋体" w:hAnsi="宋体"/>
          <w:kern w:val="0"/>
          <w:sz w:val="24"/>
        </w:rPr>
      </w:pPr>
      <w:r>
        <w:rPr>
          <w:rFonts w:ascii="宋体" w:hAnsi="宋体"/>
          <w:kern w:val="0"/>
          <w:sz w:val="24"/>
        </w:rPr>
        <w:t>（4）发包人未能在计划开工日期之日起7天内同意下达开工通知的；</w:t>
      </w:r>
    </w:p>
    <w:p>
      <w:pPr>
        <w:spacing w:line="360" w:lineRule="exact"/>
        <w:ind w:firstLine="480"/>
        <w:jc w:val="left"/>
        <w:rPr>
          <w:rFonts w:ascii="宋体" w:hAnsi="宋体"/>
          <w:kern w:val="0"/>
          <w:sz w:val="24"/>
        </w:rPr>
      </w:pPr>
      <w:r>
        <w:rPr>
          <w:rFonts w:ascii="宋体" w:hAnsi="宋体"/>
          <w:kern w:val="0"/>
          <w:sz w:val="24"/>
        </w:rPr>
        <w:t>（5）发包人未能按合同约定日期支付工程预付款、进度款或竣工结算款的；</w:t>
      </w:r>
    </w:p>
    <w:p>
      <w:pPr>
        <w:spacing w:line="360" w:lineRule="exact"/>
        <w:ind w:firstLine="480"/>
        <w:jc w:val="left"/>
        <w:rPr>
          <w:rFonts w:ascii="宋体" w:hAnsi="宋体"/>
          <w:kern w:val="0"/>
          <w:sz w:val="24"/>
        </w:rPr>
      </w:pPr>
      <w:r>
        <w:rPr>
          <w:rFonts w:ascii="宋体" w:hAnsi="宋体"/>
          <w:kern w:val="0"/>
          <w:sz w:val="24"/>
        </w:rPr>
        <w:t>（6）监理人未按合同约定发出指示、批准等文件的；</w:t>
      </w:r>
    </w:p>
    <w:p>
      <w:pPr>
        <w:spacing w:line="360" w:lineRule="exact"/>
        <w:ind w:firstLine="480"/>
        <w:jc w:val="left"/>
        <w:rPr>
          <w:rFonts w:ascii="宋体" w:hAnsi="宋体"/>
          <w:kern w:val="0"/>
          <w:sz w:val="24"/>
        </w:rPr>
      </w:pPr>
      <w:r>
        <w:rPr>
          <w:rFonts w:ascii="宋体" w:hAnsi="宋体"/>
          <w:kern w:val="0"/>
          <w:sz w:val="24"/>
        </w:rPr>
        <w:t>（7）专用合同条款中约定的其他情形。</w:t>
      </w:r>
    </w:p>
    <w:p>
      <w:pPr>
        <w:spacing w:line="360" w:lineRule="exact"/>
        <w:ind w:firstLine="480"/>
        <w:jc w:val="left"/>
        <w:rPr>
          <w:rFonts w:ascii="宋体" w:hAnsi="宋体"/>
          <w:kern w:val="0"/>
          <w:sz w:val="24"/>
        </w:rPr>
      </w:pPr>
      <w:r>
        <w:rPr>
          <w:rFonts w:ascii="宋体" w:hAnsi="宋体"/>
          <w:kern w:val="0"/>
          <w:sz w:val="24"/>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kern w:val="0"/>
          <w:sz w:val="24"/>
        </w:rPr>
        <w:t>〔</w:t>
      </w:r>
      <w:r>
        <w:rPr>
          <w:rFonts w:ascii="宋体" w:hAnsi="宋体"/>
          <w:kern w:val="0"/>
          <w:sz w:val="24"/>
        </w:rPr>
        <w:t>施工进度计划的修订</w:t>
      </w:r>
      <w:r>
        <w:rPr>
          <w:rFonts w:hint="eastAsia" w:ascii="宋体" w:hAnsi="宋体"/>
          <w:kern w:val="0"/>
          <w:sz w:val="24"/>
        </w:rPr>
        <w:t>〕</w:t>
      </w:r>
      <w:r>
        <w:rPr>
          <w:rFonts w:ascii="宋体" w:hAnsi="宋体"/>
          <w:kern w:val="0"/>
          <w:sz w:val="24"/>
        </w:rPr>
        <w:t>执行。</w:t>
      </w:r>
    </w:p>
    <w:p>
      <w:pPr>
        <w:autoSpaceDE w:val="0"/>
        <w:autoSpaceDN w:val="0"/>
        <w:adjustRightInd w:val="0"/>
        <w:spacing w:line="360" w:lineRule="exact"/>
        <w:ind w:firstLine="480"/>
        <w:jc w:val="left"/>
        <w:rPr>
          <w:rFonts w:ascii="宋体" w:hAnsi="宋体"/>
          <w:sz w:val="24"/>
        </w:rPr>
      </w:pPr>
      <w:r>
        <w:rPr>
          <w:rFonts w:ascii="宋体" w:hAnsi="宋体"/>
          <w:kern w:val="0"/>
          <w:sz w:val="24"/>
        </w:rPr>
        <w:t>7.5.2 因承包人原因导致工期延误</w:t>
      </w:r>
    </w:p>
    <w:p>
      <w:pPr>
        <w:autoSpaceDE w:val="0"/>
        <w:autoSpaceDN w:val="0"/>
        <w:adjustRightInd w:val="0"/>
        <w:spacing w:line="360" w:lineRule="exact"/>
        <w:ind w:firstLine="480"/>
        <w:jc w:val="left"/>
        <w:rPr>
          <w:rFonts w:ascii="宋体" w:hAnsi="宋体"/>
          <w:kern w:val="0"/>
          <w:sz w:val="24"/>
        </w:rPr>
      </w:pPr>
      <w:bookmarkStart w:id="194" w:name="_Toc296503076"/>
      <w:bookmarkStart w:id="195" w:name="_Toc296346577"/>
      <w:r>
        <w:rPr>
          <w:rFonts w:ascii="宋体" w:hAnsi="宋体"/>
          <w:kern w:val="0"/>
          <w:sz w:val="24"/>
        </w:rPr>
        <w:t>因</w:t>
      </w:r>
      <w:bookmarkEnd w:id="194"/>
      <w:bookmarkEnd w:id="195"/>
      <w:r>
        <w:rPr>
          <w:rFonts w:ascii="宋体" w:hAnsi="宋体"/>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120" w:after="120"/>
        <w:ind w:firstLine="420"/>
        <w:rPr>
          <w:bCs w:val="0"/>
          <w:szCs w:val="24"/>
        </w:rPr>
      </w:pPr>
      <w:bookmarkStart w:id="196" w:name="_Toc18683188"/>
      <w:r>
        <w:rPr>
          <w:bCs w:val="0"/>
          <w:szCs w:val="24"/>
        </w:rPr>
        <w:t>7</w:t>
      </w:r>
      <w:bookmarkStart w:id="197" w:name="_Toc296346575"/>
      <w:bookmarkStart w:id="198" w:name="_Toc337558773"/>
      <w:bookmarkStart w:id="199" w:name="_Toc296503074"/>
      <w:bookmarkStart w:id="200" w:name="_Toc296346578"/>
      <w:bookmarkStart w:id="201" w:name="_Toc296503077"/>
      <w:r>
        <w:rPr>
          <w:bCs w:val="0"/>
          <w:szCs w:val="24"/>
        </w:rPr>
        <w:t>.6 不利物质条件</w:t>
      </w:r>
      <w:bookmarkEnd w:id="196"/>
    </w:p>
    <w:bookmarkEnd w:id="197"/>
    <w:bookmarkEnd w:id="198"/>
    <w:bookmarkEnd w:id="199"/>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约定执行。承包人因采取合理措施而增加的费用和（或）延误的工期由发包人承担。</w:t>
      </w:r>
    </w:p>
    <w:p>
      <w:pPr>
        <w:pStyle w:val="7"/>
        <w:spacing w:before="120" w:after="120"/>
        <w:ind w:firstLine="420"/>
        <w:rPr>
          <w:bCs w:val="0"/>
          <w:szCs w:val="24"/>
        </w:rPr>
      </w:pPr>
      <w:bookmarkStart w:id="202" w:name="_Toc18683189"/>
      <w:r>
        <w:rPr>
          <w:bCs w:val="0"/>
          <w:szCs w:val="24"/>
        </w:rPr>
        <w:t>7</w:t>
      </w:r>
      <w:bookmarkStart w:id="203" w:name="_Toc296503075"/>
      <w:bookmarkStart w:id="204" w:name="_Toc337558774"/>
      <w:bookmarkStart w:id="205" w:name="_Toc296346576"/>
      <w:r>
        <w:rPr>
          <w:bCs w:val="0"/>
          <w:szCs w:val="24"/>
        </w:rPr>
        <w:t>.7异常恶劣的气候条件</w:t>
      </w:r>
      <w:bookmarkEnd w:id="202"/>
    </w:p>
    <w:bookmarkEnd w:id="203"/>
    <w:bookmarkEnd w:id="204"/>
    <w:bookmarkEnd w:id="205"/>
    <w:p>
      <w:pPr>
        <w:autoSpaceDE w:val="0"/>
        <w:autoSpaceDN w:val="0"/>
        <w:adjustRightInd w:val="0"/>
        <w:spacing w:line="360" w:lineRule="exact"/>
        <w:ind w:firstLine="480"/>
        <w:jc w:val="left"/>
        <w:rPr>
          <w:rFonts w:ascii="宋体" w:hAnsi="宋体"/>
          <w:kern w:val="0"/>
          <w:sz w:val="24"/>
        </w:rPr>
      </w:pPr>
      <w:r>
        <w:rPr>
          <w:rFonts w:ascii="宋体" w:hAnsi="宋体"/>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承包人应采取克服异常恶劣的气候条件的合理措施继续施工，并及时通知发包人和监理人。监理人经发包人同意后应当及时发出指示，指示构成变更的，按第10条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约定办理。承包人因采取合理措施而增加的费用和（或）延误的工期由发包人承担。</w:t>
      </w:r>
    </w:p>
    <w:p>
      <w:pPr>
        <w:pStyle w:val="7"/>
        <w:ind w:firstLine="420"/>
        <w:rPr>
          <w:bCs w:val="0"/>
        </w:rPr>
      </w:pPr>
      <w:bookmarkStart w:id="206" w:name="_Toc18683190"/>
      <w:r>
        <w:rPr>
          <w:bCs w:val="0"/>
        </w:rPr>
        <w:t>7</w:t>
      </w:r>
      <w:bookmarkStart w:id="207" w:name="_Toc337558775"/>
      <w:r>
        <w:rPr>
          <w:bCs w:val="0"/>
        </w:rPr>
        <w:t>.8暂停施工</w:t>
      </w:r>
      <w:bookmarkEnd w:id="206"/>
    </w:p>
    <w:bookmarkEnd w:id="200"/>
    <w:bookmarkEnd w:id="201"/>
    <w:bookmarkEnd w:id="207"/>
    <w:p>
      <w:pPr>
        <w:spacing w:line="360" w:lineRule="exact"/>
        <w:ind w:firstLine="480"/>
        <w:jc w:val="left"/>
        <w:rPr>
          <w:rFonts w:ascii="宋体" w:hAnsi="宋体"/>
          <w:kern w:val="0"/>
          <w:sz w:val="24"/>
        </w:rPr>
      </w:pPr>
      <w:r>
        <w:rPr>
          <w:rFonts w:ascii="宋体" w:hAnsi="宋体"/>
          <w:kern w:val="0"/>
          <w:sz w:val="24"/>
        </w:rPr>
        <w:t>7.8.1发包人原因引起的暂停施工</w:t>
      </w:r>
    </w:p>
    <w:p>
      <w:pPr>
        <w:spacing w:line="360" w:lineRule="exact"/>
        <w:ind w:firstLine="480"/>
        <w:jc w:val="left"/>
        <w:rPr>
          <w:rFonts w:ascii="宋体" w:hAnsi="宋体"/>
          <w:kern w:val="0"/>
          <w:sz w:val="24"/>
        </w:rPr>
      </w:pPr>
      <w:r>
        <w:rPr>
          <w:rFonts w:ascii="宋体" w:hAnsi="宋体"/>
          <w:kern w:val="0"/>
          <w:sz w:val="24"/>
        </w:rPr>
        <w:t>因发包人原因引起暂停施工的，监理人经发包人同意后，应及时下达暂停施工指示。情况紧急且监理人未及时下达暂停施工指示的，按照第7.8.4项</w:t>
      </w:r>
      <w:r>
        <w:rPr>
          <w:rFonts w:hint="eastAsia" w:ascii="宋体" w:hAnsi="宋体"/>
          <w:kern w:val="0"/>
          <w:sz w:val="24"/>
        </w:rPr>
        <w:t>〔</w:t>
      </w:r>
      <w:r>
        <w:rPr>
          <w:rFonts w:ascii="宋体" w:hAnsi="宋体"/>
          <w:kern w:val="0"/>
          <w:sz w:val="24"/>
        </w:rPr>
        <w:t>紧急情况下的暂停施工</w:t>
      </w:r>
      <w:r>
        <w:rPr>
          <w:rFonts w:hint="eastAsia" w:ascii="宋体" w:hAnsi="宋体"/>
          <w:kern w:val="0"/>
          <w:sz w:val="24"/>
        </w:rPr>
        <w:t>〕</w:t>
      </w:r>
      <w:r>
        <w:rPr>
          <w:rFonts w:ascii="宋体" w:hAnsi="宋体"/>
          <w:kern w:val="0"/>
          <w:sz w:val="24"/>
        </w:rPr>
        <w:t>执行。</w:t>
      </w:r>
    </w:p>
    <w:p>
      <w:pPr>
        <w:spacing w:line="360" w:lineRule="exact"/>
        <w:ind w:firstLine="480"/>
        <w:jc w:val="left"/>
        <w:rPr>
          <w:rFonts w:ascii="宋体" w:hAnsi="宋体"/>
          <w:kern w:val="0"/>
          <w:sz w:val="24"/>
        </w:rPr>
      </w:pPr>
      <w:r>
        <w:rPr>
          <w:rFonts w:ascii="宋体" w:hAnsi="宋体"/>
          <w:kern w:val="0"/>
          <w:sz w:val="24"/>
        </w:rPr>
        <w:t>因发包人原因引起的暂停施工，发包人应承担由此增加的费用和（或）延误的工期，并支付承包人合理的利润。</w:t>
      </w:r>
    </w:p>
    <w:p>
      <w:pPr>
        <w:spacing w:line="360" w:lineRule="exact"/>
        <w:ind w:firstLine="480"/>
        <w:jc w:val="left"/>
        <w:rPr>
          <w:rFonts w:ascii="宋体" w:hAnsi="宋体"/>
          <w:kern w:val="0"/>
          <w:sz w:val="24"/>
        </w:rPr>
      </w:pPr>
      <w:r>
        <w:rPr>
          <w:rFonts w:ascii="宋体" w:hAnsi="宋体"/>
          <w:kern w:val="0"/>
          <w:sz w:val="24"/>
        </w:rPr>
        <w:t>7.8.2 承包人原因引起的暂停施工</w:t>
      </w:r>
    </w:p>
    <w:p>
      <w:pPr>
        <w:spacing w:line="360" w:lineRule="exact"/>
        <w:ind w:firstLine="480"/>
        <w:jc w:val="left"/>
        <w:rPr>
          <w:rFonts w:ascii="宋体" w:hAnsi="宋体"/>
          <w:kern w:val="0"/>
          <w:sz w:val="24"/>
        </w:rPr>
      </w:pPr>
      <w:r>
        <w:rPr>
          <w:rFonts w:ascii="宋体" w:hAnsi="宋体"/>
          <w:kern w:val="0"/>
          <w:sz w:val="24"/>
        </w:rPr>
        <w:t>因承包人原因引起的暂停施工，承包人应承担由此增加的费用和（或）延误的工期，且承包人在收到监理人复工指示后</w:t>
      </w:r>
      <w:r>
        <w:rPr>
          <w:rFonts w:hint="eastAsia" w:ascii="宋体" w:hAnsi="宋体"/>
          <w:kern w:val="0"/>
          <w:sz w:val="24"/>
        </w:rPr>
        <w:t>84</w:t>
      </w:r>
      <w:r>
        <w:rPr>
          <w:rFonts w:ascii="宋体" w:hAnsi="宋体"/>
          <w:kern w:val="0"/>
          <w:sz w:val="24"/>
        </w:rPr>
        <w:t>天内仍未复工的，视为第16.2.1项</w:t>
      </w:r>
      <w:r>
        <w:rPr>
          <w:rFonts w:hint="eastAsia" w:ascii="宋体" w:hAnsi="宋体"/>
          <w:kern w:val="0"/>
          <w:sz w:val="24"/>
        </w:rPr>
        <w:t>〔</w:t>
      </w:r>
      <w:r>
        <w:rPr>
          <w:rFonts w:ascii="宋体" w:hAnsi="宋体"/>
          <w:kern w:val="0"/>
          <w:sz w:val="24"/>
        </w:rPr>
        <w:t>承包人违约的情形</w:t>
      </w:r>
      <w:r>
        <w:rPr>
          <w:rFonts w:hint="eastAsia" w:ascii="宋体" w:hAnsi="宋体"/>
          <w:kern w:val="0"/>
          <w:sz w:val="24"/>
        </w:rPr>
        <w:t>〕</w:t>
      </w:r>
      <w:r>
        <w:rPr>
          <w:rFonts w:ascii="宋体" w:hAnsi="宋体"/>
          <w:kern w:val="0"/>
          <w:sz w:val="24"/>
        </w:rPr>
        <w:t>第（7）目约定的承包人无法继续履行合同的情形。</w:t>
      </w:r>
    </w:p>
    <w:p>
      <w:pPr>
        <w:spacing w:line="360" w:lineRule="exact"/>
        <w:ind w:firstLine="480"/>
        <w:jc w:val="left"/>
        <w:rPr>
          <w:rFonts w:ascii="宋体" w:hAnsi="宋体"/>
          <w:kern w:val="0"/>
          <w:sz w:val="24"/>
        </w:rPr>
      </w:pPr>
      <w:r>
        <w:rPr>
          <w:rFonts w:ascii="宋体" w:hAnsi="宋体"/>
          <w:kern w:val="0"/>
          <w:sz w:val="24"/>
        </w:rPr>
        <w:t>7.8.3 指示暂停施工</w:t>
      </w:r>
    </w:p>
    <w:p>
      <w:pPr>
        <w:spacing w:line="360" w:lineRule="exact"/>
        <w:ind w:firstLine="480"/>
        <w:jc w:val="left"/>
        <w:rPr>
          <w:rFonts w:ascii="宋体" w:hAnsi="宋体"/>
          <w:kern w:val="0"/>
          <w:sz w:val="24"/>
        </w:rPr>
      </w:pPr>
      <w:r>
        <w:rPr>
          <w:rFonts w:ascii="宋体" w:hAnsi="宋体"/>
          <w:kern w:val="0"/>
          <w:sz w:val="24"/>
        </w:rPr>
        <w:t>监理人认为有必要时，并经发包人批准后，可向承包人作出暂停施工的指示，承包人应按监理人指示暂停施工。</w:t>
      </w:r>
    </w:p>
    <w:p>
      <w:pPr>
        <w:spacing w:line="360" w:lineRule="exact"/>
        <w:ind w:firstLine="480"/>
        <w:jc w:val="left"/>
        <w:rPr>
          <w:rFonts w:ascii="宋体" w:hAnsi="宋体"/>
          <w:kern w:val="0"/>
          <w:sz w:val="24"/>
        </w:rPr>
      </w:pPr>
      <w:r>
        <w:rPr>
          <w:rFonts w:ascii="宋体" w:hAnsi="宋体"/>
          <w:kern w:val="0"/>
          <w:sz w:val="24"/>
        </w:rPr>
        <w:t>7.8.4 紧急情况下的暂停施工</w:t>
      </w:r>
    </w:p>
    <w:p>
      <w:pPr>
        <w:spacing w:line="360" w:lineRule="exact"/>
        <w:ind w:firstLine="480"/>
        <w:jc w:val="left"/>
        <w:rPr>
          <w:rFonts w:ascii="宋体" w:hAnsi="宋体"/>
          <w:kern w:val="0"/>
          <w:sz w:val="24"/>
        </w:rPr>
      </w:pPr>
      <w:r>
        <w:rPr>
          <w:rFonts w:ascii="宋体" w:hAnsi="宋体"/>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spacing w:line="360" w:lineRule="exact"/>
        <w:ind w:firstLine="480"/>
        <w:jc w:val="left"/>
        <w:rPr>
          <w:rFonts w:ascii="宋体" w:hAnsi="宋体"/>
          <w:kern w:val="0"/>
          <w:sz w:val="24"/>
        </w:rPr>
      </w:pPr>
      <w:r>
        <w:rPr>
          <w:rFonts w:ascii="宋体" w:hAnsi="宋体"/>
          <w:kern w:val="0"/>
          <w:sz w:val="24"/>
        </w:rPr>
        <w:t>7.8.5 暂停施工后的复工</w:t>
      </w:r>
    </w:p>
    <w:p>
      <w:pPr>
        <w:spacing w:line="360" w:lineRule="exact"/>
        <w:ind w:firstLine="480"/>
        <w:jc w:val="left"/>
        <w:rPr>
          <w:rFonts w:ascii="宋体" w:hAnsi="宋体"/>
          <w:kern w:val="0"/>
          <w:sz w:val="24"/>
        </w:rPr>
      </w:pPr>
      <w:r>
        <w:rPr>
          <w:rFonts w:ascii="宋体" w:hAnsi="宋体"/>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exact"/>
        <w:ind w:firstLine="480"/>
        <w:jc w:val="left"/>
        <w:rPr>
          <w:rFonts w:ascii="宋体" w:hAnsi="宋体"/>
          <w:kern w:val="0"/>
          <w:sz w:val="24"/>
        </w:rPr>
      </w:pPr>
      <w:r>
        <w:rPr>
          <w:rFonts w:ascii="宋体" w:hAnsi="宋体"/>
          <w:kern w:val="0"/>
          <w:sz w:val="24"/>
        </w:rPr>
        <w:t>承包人无故拖延和拒绝复工的，承包人承担由此增加的费用和（或）延误的工期；因发包人原因无法按时复工的，按照第7.5.1项</w:t>
      </w:r>
      <w:r>
        <w:rPr>
          <w:rFonts w:hint="eastAsia" w:ascii="宋体" w:hAnsi="宋体"/>
          <w:kern w:val="0"/>
          <w:sz w:val="24"/>
        </w:rPr>
        <w:t>〔</w:t>
      </w:r>
      <w:r>
        <w:rPr>
          <w:rFonts w:ascii="宋体" w:hAnsi="宋体"/>
          <w:kern w:val="0"/>
          <w:sz w:val="24"/>
        </w:rPr>
        <w:t>因发包人原因导致工期延误</w:t>
      </w:r>
      <w:r>
        <w:rPr>
          <w:rFonts w:hint="eastAsia" w:ascii="宋体" w:hAnsi="宋体"/>
          <w:kern w:val="0"/>
          <w:sz w:val="24"/>
        </w:rPr>
        <w:t>〕</w:t>
      </w:r>
      <w:r>
        <w:rPr>
          <w:rFonts w:ascii="宋体" w:hAnsi="宋体"/>
          <w:kern w:val="0"/>
          <w:sz w:val="24"/>
        </w:rPr>
        <w:t>约定办理。</w:t>
      </w:r>
    </w:p>
    <w:p>
      <w:pPr>
        <w:spacing w:line="360" w:lineRule="exact"/>
        <w:ind w:firstLine="480"/>
        <w:jc w:val="left"/>
        <w:rPr>
          <w:rFonts w:ascii="宋体" w:hAnsi="宋体"/>
          <w:kern w:val="0"/>
          <w:sz w:val="24"/>
        </w:rPr>
      </w:pPr>
      <w:r>
        <w:rPr>
          <w:rFonts w:ascii="宋体" w:hAnsi="宋体"/>
          <w:kern w:val="0"/>
          <w:sz w:val="24"/>
        </w:rPr>
        <w:t>7.8.6 暂停施工持续56天以上</w:t>
      </w:r>
    </w:p>
    <w:p>
      <w:pPr>
        <w:spacing w:line="360" w:lineRule="exact"/>
        <w:ind w:firstLine="468" w:firstLineChars="195"/>
        <w:jc w:val="left"/>
        <w:rPr>
          <w:rFonts w:ascii="宋体" w:hAnsi="宋体"/>
          <w:kern w:val="0"/>
          <w:sz w:val="24"/>
        </w:rPr>
      </w:pPr>
      <w:r>
        <w:rPr>
          <w:rFonts w:ascii="宋体" w:hAnsi="宋体"/>
          <w:kern w:val="0"/>
          <w:sz w:val="24"/>
        </w:rPr>
        <w:t>监理人发出暂停施工指示后56天内未向承包人发出复工通知，除该项停工属于第7.8.2项</w:t>
      </w:r>
      <w:r>
        <w:rPr>
          <w:rFonts w:hint="eastAsia" w:ascii="宋体" w:hAnsi="宋体"/>
          <w:kern w:val="0"/>
          <w:sz w:val="24"/>
        </w:rPr>
        <w:t>〔</w:t>
      </w:r>
      <w:r>
        <w:rPr>
          <w:rFonts w:ascii="宋体" w:hAnsi="宋体"/>
          <w:kern w:val="0"/>
          <w:sz w:val="24"/>
        </w:rPr>
        <w:t>承包人原因引起的暂停施工</w:t>
      </w:r>
      <w:r>
        <w:rPr>
          <w:rFonts w:hint="eastAsia" w:ascii="宋体" w:hAnsi="宋体"/>
          <w:kern w:val="0"/>
          <w:sz w:val="24"/>
        </w:rPr>
        <w:t>〕</w:t>
      </w:r>
      <w:r>
        <w:rPr>
          <w:rFonts w:ascii="宋体" w:hAnsi="宋体"/>
          <w:kern w:val="0"/>
          <w:sz w:val="24"/>
        </w:rPr>
        <w:t>及第17条</w:t>
      </w:r>
      <w:r>
        <w:rPr>
          <w:rFonts w:hint="eastAsia" w:ascii="宋体" w:hAnsi="宋体"/>
          <w:kern w:val="0"/>
          <w:sz w:val="24"/>
        </w:rPr>
        <w:t>〔</w:t>
      </w:r>
      <w:r>
        <w:rPr>
          <w:rFonts w:ascii="宋体" w:hAnsi="宋体"/>
          <w:kern w:val="0"/>
          <w:sz w:val="24"/>
        </w:rPr>
        <w:t>不可抗力</w:t>
      </w:r>
      <w:r>
        <w:rPr>
          <w:rFonts w:hint="eastAsia" w:ascii="宋体" w:hAnsi="宋体"/>
          <w:kern w:val="0"/>
          <w:sz w:val="24"/>
        </w:rPr>
        <w:t>〕</w:t>
      </w:r>
      <w:r>
        <w:rPr>
          <w:rFonts w:ascii="宋体" w:hAnsi="宋体"/>
          <w:kern w:val="0"/>
          <w:sz w:val="24"/>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第（2）项的可取消工作。</w:t>
      </w:r>
    </w:p>
    <w:p>
      <w:pPr>
        <w:spacing w:line="360" w:lineRule="exact"/>
        <w:ind w:firstLine="468" w:firstLineChars="195"/>
        <w:jc w:val="left"/>
        <w:rPr>
          <w:rFonts w:ascii="宋体" w:hAnsi="宋体"/>
          <w:kern w:val="0"/>
          <w:sz w:val="24"/>
        </w:rPr>
      </w:pPr>
      <w:r>
        <w:rPr>
          <w:rFonts w:ascii="宋体" w:hAnsi="宋体"/>
          <w:kern w:val="0"/>
          <w:sz w:val="24"/>
        </w:rPr>
        <w:t>暂停施工持续</w:t>
      </w:r>
      <w:r>
        <w:rPr>
          <w:rFonts w:hint="eastAsia" w:ascii="宋体" w:hAnsi="宋体"/>
          <w:kern w:val="0"/>
          <w:sz w:val="24"/>
        </w:rPr>
        <w:t>84</w:t>
      </w:r>
      <w:r>
        <w:rPr>
          <w:rFonts w:ascii="宋体" w:hAnsi="宋体"/>
          <w:kern w:val="0"/>
          <w:sz w:val="24"/>
        </w:rPr>
        <w:t>天以上不复工的，且不属于第7.8.2项</w:t>
      </w:r>
      <w:r>
        <w:rPr>
          <w:rFonts w:hint="eastAsia" w:ascii="宋体" w:hAnsi="宋体"/>
          <w:kern w:val="0"/>
          <w:sz w:val="24"/>
        </w:rPr>
        <w:t>〔</w:t>
      </w:r>
      <w:r>
        <w:rPr>
          <w:rFonts w:ascii="宋体" w:hAnsi="宋体"/>
          <w:kern w:val="0"/>
          <w:sz w:val="24"/>
        </w:rPr>
        <w:t>承包人原因引起的暂停施工</w:t>
      </w:r>
      <w:r>
        <w:rPr>
          <w:rFonts w:hint="eastAsia" w:ascii="宋体" w:hAnsi="宋体"/>
          <w:kern w:val="0"/>
          <w:sz w:val="24"/>
        </w:rPr>
        <w:t>〕</w:t>
      </w:r>
      <w:r>
        <w:rPr>
          <w:rFonts w:ascii="宋体" w:hAnsi="宋体"/>
          <w:kern w:val="0"/>
          <w:sz w:val="24"/>
        </w:rPr>
        <w:t>及第17条</w:t>
      </w:r>
      <w:r>
        <w:rPr>
          <w:rFonts w:hint="eastAsia" w:ascii="宋体" w:hAnsi="宋体"/>
          <w:kern w:val="0"/>
          <w:sz w:val="24"/>
        </w:rPr>
        <w:t>〔</w:t>
      </w:r>
      <w:r>
        <w:rPr>
          <w:rFonts w:ascii="宋体" w:hAnsi="宋体"/>
          <w:kern w:val="0"/>
          <w:sz w:val="24"/>
        </w:rPr>
        <w:t>不可抗力</w:t>
      </w:r>
      <w:r>
        <w:rPr>
          <w:rFonts w:hint="eastAsia" w:ascii="宋体" w:hAnsi="宋体"/>
          <w:kern w:val="0"/>
          <w:sz w:val="24"/>
        </w:rPr>
        <w:t>〕</w:t>
      </w:r>
      <w:r>
        <w:rPr>
          <w:rFonts w:ascii="宋体" w:hAnsi="宋体"/>
          <w:kern w:val="0"/>
          <w:sz w:val="24"/>
        </w:rPr>
        <w:t>约定的情形，并影响到整个工程以及合同目的实现的，承包人有权提出价格调整要求，或者解除合同。解除合同的，按照第16.1.3项</w:t>
      </w:r>
      <w:r>
        <w:rPr>
          <w:rFonts w:hint="eastAsia" w:ascii="宋体" w:hAnsi="宋体"/>
          <w:kern w:val="0"/>
          <w:sz w:val="24"/>
        </w:rPr>
        <w:t>〔</w:t>
      </w:r>
      <w:r>
        <w:rPr>
          <w:rFonts w:ascii="宋体" w:hAnsi="宋体"/>
          <w:kern w:val="0"/>
          <w:sz w:val="24"/>
        </w:rPr>
        <w:t>因发包人违约解除合同</w:t>
      </w:r>
      <w:r>
        <w:rPr>
          <w:rFonts w:hint="eastAsia" w:ascii="宋体" w:hAnsi="宋体"/>
          <w:kern w:val="0"/>
          <w:sz w:val="24"/>
        </w:rPr>
        <w:t>〕</w:t>
      </w:r>
      <w:r>
        <w:rPr>
          <w:rFonts w:ascii="宋体" w:hAnsi="宋体"/>
          <w:kern w:val="0"/>
          <w:sz w:val="24"/>
        </w:rPr>
        <w:t>执行。</w:t>
      </w:r>
    </w:p>
    <w:p>
      <w:pPr>
        <w:spacing w:line="360" w:lineRule="exact"/>
        <w:ind w:left="16" w:firstLine="468" w:firstLineChars="195"/>
        <w:jc w:val="left"/>
        <w:rPr>
          <w:rFonts w:ascii="宋体" w:hAnsi="宋体"/>
          <w:kern w:val="0"/>
          <w:sz w:val="24"/>
        </w:rPr>
      </w:pPr>
      <w:r>
        <w:rPr>
          <w:rFonts w:ascii="宋体" w:hAnsi="宋体"/>
          <w:kern w:val="0"/>
          <w:sz w:val="24"/>
        </w:rPr>
        <w:t>7.8.7 暂停施工期间的工程照管</w:t>
      </w:r>
    </w:p>
    <w:p>
      <w:pPr>
        <w:spacing w:line="360" w:lineRule="exact"/>
        <w:ind w:firstLine="480"/>
        <w:jc w:val="left"/>
        <w:rPr>
          <w:rFonts w:ascii="宋体" w:hAnsi="宋体"/>
          <w:kern w:val="0"/>
          <w:sz w:val="24"/>
        </w:rPr>
      </w:pPr>
      <w:r>
        <w:rPr>
          <w:rFonts w:ascii="宋体" w:hAnsi="宋体"/>
          <w:kern w:val="0"/>
          <w:sz w:val="24"/>
        </w:rPr>
        <w:t>暂停施工期间，承包人应负责妥善照管工程并提供安全保障，由此增加的费用由责任方承担。</w:t>
      </w:r>
    </w:p>
    <w:p>
      <w:pPr>
        <w:spacing w:line="360" w:lineRule="exact"/>
        <w:ind w:firstLine="480"/>
        <w:jc w:val="left"/>
        <w:rPr>
          <w:rFonts w:ascii="宋体" w:hAnsi="宋体"/>
          <w:kern w:val="0"/>
          <w:sz w:val="24"/>
        </w:rPr>
      </w:pPr>
      <w:r>
        <w:rPr>
          <w:rFonts w:ascii="宋体" w:hAnsi="宋体"/>
          <w:kern w:val="0"/>
          <w:sz w:val="24"/>
        </w:rPr>
        <w:t>7.8.8 暂停施工的措施</w:t>
      </w:r>
    </w:p>
    <w:p>
      <w:pPr>
        <w:spacing w:line="360" w:lineRule="exact"/>
        <w:ind w:firstLine="480"/>
        <w:jc w:val="left"/>
        <w:rPr>
          <w:rFonts w:ascii="宋体" w:hAnsi="宋体"/>
          <w:kern w:val="0"/>
          <w:sz w:val="24"/>
        </w:rPr>
      </w:pPr>
      <w:r>
        <w:rPr>
          <w:rFonts w:ascii="宋体" w:hAnsi="宋体"/>
          <w:kern w:val="0"/>
          <w:sz w:val="24"/>
        </w:rPr>
        <w:t>暂停施工期间，发包人和承包人均应采取必要的措施确保工程质量及安全，防止因暂停施工扩大损失。</w:t>
      </w:r>
    </w:p>
    <w:p>
      <w:pPr>
        <w:pStyle w:val="7"/>
        <w:spacing w:before="120" w:after="120"/>
        <w:ind w:firstLine="420"/>
        <w:rPr>
          <w:bCs w:val="0"/>
          <w:szCs w:val="24"/>
        </w:rPr>
      </w:pPr>
      <w:bookmarkStart w:id="208" w:name="_Toc18683191"/>
      <w:r>
        <w:rPr>
          <w:bCs w:val="0"/>
          <w:szCs w:val="24"/>
        </w:rPr>
        <w:t>7.9提前竣工</w:t>
      </w:r>
      <w:bookmarkEnd w:id="208"/>
    </w:p>
    <w:p>
      <w:pPr>
        <w:spacing w:line="360" w:lineRule="exact"/>
        <w:ind w:firstLine="480"/>
        <w:jc w:val="left"/>
        <w:rPr>
          <w:rFonts w:ascii="宋体" w:hAnsi="宋体"/>
          <w:kern w:val="0"/>
          <w:sz w:val="24"/>
        </w:rPr>
      </w:pPr>
      <w:r>
        <w:rPr>
          <w:rFonts w:ascii="宋体" w:hAnsi="宋体"/>
          <w:kern w:val="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kern w:val="0"/>
          <w:sz w:val="24"/>
        </w:rPr>
        <w:t>承包人认为提前竣工指示无法执行的，应向监理人和发包人提出书面异议，发包人和监理人应在收到异议后7天内予以答复。任何情况下，发包人不得压缩合理工期。</w:t>
      </w:r>
    </w:p>
    <w:p>
      <w:pPr>
        <w:spacing w:line="360" w:lineRule="exact"/>
        <w:ind w:firstLine="480"/>
        <w:jc w:val="left"/>
        <w:rPr>
          <w:rFonts w:ascii="宋体" w:hAnsi="宋体"/>
          <w:kern w:val="0"/>
          <w:sz w:val="24"/>
        </w:rPr>
      </w:pPr>
      <w:r>
        <w:rPr>
          <w:rFonts w:ascii="宋体" w:hAnsi="宋体"/>
          <w:kern w:val="0"/>
          <w:sz w:val="24"/>
        </w:rPr>
        <w:t>7.9.2 发包人要求承包人提前竣工，或承包人提出提前竣工的建议能够给发包人带来效益的，合同当事人可以在专用合同条款中约定提前竣工的奖励。</w:t>
      </w:r>
    </w:p>
    <w:p>
      <w:pPr>
        <w:pStyle w:val="6"/>
        <w:ind w:left="103" w:leftChars="0" w:firstLineChars="0"/>
      </w:pPr>
      <w:bookmarkStart w:id="209" w:name="_Toc18683192"/>
      <w:r>
        <w:t>8</w:t>
      </w:r>
      <w:bookmarkStart w:id="210" w:name="_Toc296503058"/>
      <w:bookmarkStart w:id="211" w:name="_Toc296346559"/>
      <w:bookmarkStart w:id="212" w:name="_Toc337558776"/>
      <w:r>
        <w:t>. 材料与设备</w:t>
      </w:r>
      <w:bookmarkEnd w:id="209"/>
    </w:p>
    <w:bookmarkEnd w:id="210"/>
    <w:bookmarkEnd w:id="211"/>
    <w:bookmarkEnd w:id="212"/>
    <w:p>
      <w:pPr>
        <w:pStyle w:val="7"/>
        <w:spacing w:before="120" w:after="120"/>
        <w:ind w:firstLine="420"/>
        <w:rPr>
          <w:bCs w:val="0"/>
          <w:szCs w:val="24"/>
        </w:rPr>
      </w:pPr>
      <w:bookmarkStart w:id="213" w:name="_Toc18683193"/>
      <w:r>
        <w:rPr>
          <w:bCs w:val="0"/>
          <w:szCs w:val="24"/>
        </w:rPr>
        <w:t>8</w:t>
      </w:r>
      <w:bookmarkStart w:id="214" w:name="_Toc296503059"/>
      <w:bookmarkStart w:id="215" w:name="_Toc296346560"/>
      <w:bookmarkStart w:id="216" w:name="_Toc337558777"/>
      <w:bookmarkStart w:id="217" w:name="_Toc468936960"/>
      <w:r>
        <w:rPr>
          <w:bCs w:val="0"/>
          <w:szCs w:val="24"/>
        </w:rPr>
        <w:t>.1发包人供应材料与工程设备</w:t>
      </w:r>
      <w:bookmarkEnd w:id="213"/>
    </w:p>
    <w:bookmarkEnd w:id="214"/>
    <w:bookmarkEnd w:id="215"/>
    <w:bookmarkEnd w:id="216"/>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承包人应提前30天通过监理人以书面形式通知发包人供应材料与工程设备进场。承包人按照第7.2.2项</w:t>
      </w:r>
      <w:r>
        <w:rPr>
          <w:rFonts w:hint="eastAsia" w:ascii="宋体" w:hAnsi="宋体"/>
          <w:kern w:val="0"/>
          <w:sz w:val="24"/>
        </w:rPr>
        <w:t>〔</w:t>
      </w:r>
      <w:r>
        <w:rPr>
          <w:rFonts w:ascii="宋体" w:hAnsi="宋体"/>
          <w:kern w:val="0"/>
          <w:sz w:val="24"/>
        </w:rPr>
        <w:t>施工进度计划的修订</w:t>
      </w:r>
      <w:r>
        <w:rPr>
          <w:rFonts w:hint="eastAsia" w:ascii="宋体" w:hAnsi="宋体"/>
          <w:kern w:val="0"/>
          <w:sz w:val="24"/>
        </w:rPr>
        <w:t>〕</w:t>
      </w:r>
      <w:r>
        <w:rPr>
          <w:rFonts w:ascii="宋体" w:hAnsi="宋体"/>
          <w:kern w:val="0"/>
          <w:sz w:val="24"/>
        </w:rPr>
        <w:t>约定修订施工进度计划时，需同时提交经修订后的发包人供应材料与工程设备的进场计划。</w:t>
      </w:r>
    </w:p>
    <w:p>
      <w:pPr>
        <w:pStyle w:val="7"/>
        <w:spacing w:before="120" w:after="120"/>
        <w:ind w:firstLine="420"/>
        <w:rPr>
          <w:bCs w:val="0"/>
          <w:szCs w:val="24"/>
        </w:rPr>
      </w:pPr>
      <w:bookmarkStart w:id="218" w:name="_Toc18683194"/>
      <w:r>
        <w:rPr>
          <w:bCs w:val="0"/>
          <w:szCs w:val="24"/>
        </w:rPr>
        <w:t>8</w:t>
      </w:r>
      <w:bookmarkStart w:id="219" w:name="_Toc337558778"/>
      <w:bookmarkStart w:id="220" w:name="_Toc296503060"/>
      <w:bookmarkStart w:id="221" w:name="_Toc296346561"/>
      <w:r>
        <w:rPr>
          <w:bCs w:val="0"/>
          <w:szCs w:val="24"/>
        </w:rPr>
        <w:t>.2承包人采购材料与工程设备</w:t>
      </w:r>
      <w:bookmarkEnd w:id="218"/>
    </w:p>
    <w:bookmarkEnd w:id="219"/>
    <w:bookmarkEnd w:id="220"/>
    <w:bookmarkEnd w:id="221"/>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kern w:val="0"/>
          <w:sz w:val="24"/>
        </w:rPr>
        <w:t>相应责任</w:t>
      </w:r>
      <w:r>
        <w:rPr>
          <w:rFonts w:ascii="宋体" w:hAnsi="宋体"/>
          <w:kern w:val="0"/>
          <w:sz w:val="24"/>
        </w:rPr>
        <w:t>。</w:t>
      </w:r>
    </w:p>
    <w:p>
      <w:pPr>
        <w:pStyle w:val="7"/>
        <w:spacing w:before="120" w:after="120"/>
        <w:ind w:firstLine="420"/>
        <w:rPr>
          <w:bCs w:val="0"/>
          <w:szCs w:val="24"/>
        </w:rPr>
      </w:pPr>
      <w:bookmarkStart w:id="222" w:name="_Toc18683195"/>
      <w:r>
        <w:rPr>
          <w:bCs w:val="0"/>
          <w:szCs w:val="24"/>
        </w:rPr>
        <w:t>8</w:t>
      </w:r>
      <w:bookmarkStart w:id="223" w:name="_Toc296346562"/>
      <w:bookmarkStart w:id="224" w:name="_Toc296503061"/>
      <w:bookmarkStart w:id="225" w:name="_Toc337558779"/>
      <w:r>
        <w:rPr>
          <w:bCs w:val="0"/>
          <w:szCs w:val="24"/>
        </w:rPr>
        <w:t>.3材料与工程设备的接收与拒收</w:t>
      </w:r>
      <w:bookmarkEnd w:id="222"/>
    </w:p>
    <w:bookmarkEnd w:id="223"/>
    <w:bookmarkEnd w:id="224"/>
    <w:bookmarkEnd w:id="225"/>
    <w:p>
      <w:pPr>
        <w:autoSpaceDE w:val="0"/>
        <w:autoSpaceDN w:val="0"/>
        <w:adjustRightInd w:val="0"/>
        <w:spacing w:line="360" w:lineRule="exact"/>
        <w:ind w:firstLine="480"/>
        <w:jc w:val="left"/>
        <w:rPr>
          <w:rFonts w:ascii="宋体" w:hAnsi="宋体"/>
          <w:kern w:val="0"/>
          <w:sz w:val="24"/>
        </w:rPr>
      </w:pPr>
      <w:r>
        <w:rPr>
          <w:rFonts w:ascii="宋体" w:hAnsi="宋体"/>
          <w:kern w:val="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发包人提供的材料和工程设备的规格、数量或质量不符合合同约定的，或因发包人原因导致交货日期延误或交货地点变更等情况的，按照第16.1款</w:t>
      </w:r>
      <w:r>
        <w:rPr>
          <w:rFonts w:hint="eastAsia" w:ascii="宋体" w:hAnsi="宋体"/>
          <w:kern w:val="0"/>
          <w:sz w:val="24"/>
        </w:rPr>
        <w:t>〔</w:t>
      </w:r>
      <w:r>
        <w:rPr>
          <w:rFonts w:ascii="宋体" w:hAnsi="宋体"/>
          <w:kern w:val="0"/>
          <w:sz w:val="24"/>
        </w:rPr>
        <w:t>发包人违约</w:t>
      </w:r>
      <w:r>
        <w:rPr>
          <w:rFonts w:hint="eastAsia" w:ascii="宋体" w:hAnsi="宋体"/>
          <w:kern w:val="0"/>
          <w:sz w:val="24"/>
        </w:rPr>
        <w:t>〕</w:t>
      </w:r>
      <w:r>
        <w:rPr>
          <w:rFonts w:ascii="宋体" w:hAnsi="宋体"/>
          <w:kern w:val="0"/>
          <w:sz w:val="24"/>
        </w:rPr>
        <w:t>约定办理。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8.3.2 承包人采购的材料和工程设备，应保证产品质量合格，承包人应在材料和工程设备到货前24小时通知监理人检验。承</w:t>
      </w:r>
      <w:bookmarkStart w:id="226" w:name="_Toc250655469"/>
      <w:r>
        <w:rPr>
          <w:rFonts w:ascii="宋体" w:hAnsi="宋体"/>
          <w:kern w:val="0"/>
          <w:sz w:val="24"/>
        </w:rPr>
        <w:t>包人进行永久设备、材料的制造和生产的，应符合相关质量标准，并向监理人提交材料的样本以及有关资料，并应在使用该材料或工程设备之前获得监理人同意。</w:t>
      </w:r>
    </w:p>
    <w:bookmarkEnd w:id="226"/>
    <w:p>
      <w:pPr>
        <w:autoSpaceDE w:val="0"/>
        <w:autoSpaceDN w:val="0"/>
        <w:adjustRightInd w:val="0"/>
        <w:spacing w:line="360" w:lineRule="exact"/>
        <w:ind w:firstLine="360" w:firstLineChars="150"/>
        <w:jc w:val="left"/>
        <w:rPr>
          <w:rFonts w:ascii="宋体" w:hAnsi="宋体"/>
          <w:kern w:val="0"/>
          <w:sz w:val="24"/>
        </w:rPr>
      </w:pPr>
      <w:r>
        <w:rPr>
          <w:rFonts w:ascii="宋体" w:hAnsi="宋体"/>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120" w:after="120"/>
        <w:ind w:firstLine="420"/>
        <w:rPr>
          <w:bCs w:val="0"/>
          <w:szCs w:val="24"/>
        </w:rPr>
      </w:pPr>
      <w:bookmarkStart w:id="227" w:name="_Toc18683196"/>
      <w:r>
        <w:rPr>
          <w:bCs w:val="0"/>
          <w:szCs w:val="24"/>
        </w:rPr>
        <w:t>8</w:t>
      </w:r>
      <w:bookmarkStart w:id="228" w:name="_Toc296346563"/>
      <w:bookmarkStart w:id="229" w:name="_Toc337558780"/>
      <w:bookmarkStart w:id="230" w:name="_Toc296503062"/>
      <w:r>
        <w:rPr>
          <w:bCs w:val="0"/>
          <w:szCs w:val="24"/>
        </w:rPr>
        <w:t>.4材料与工程设备的保管与使用</w:t>
      </w:r>
      <w:bookmarkEnd w:id="227"/>
    </w:p>
    <w:bookmarkEnd w:id="228"/>
    <w:bookmarkEnd w:id="229"/>
    <w:bookmarkEnd w:id="230"/>
    <w:p>
      <w:pPr>
        <w:autoSpaceDE w:val="0"/>
        <w:autoSpaceDN w:val="0"/>
        <w:adjustRightInd w:val="0"/>
        <w:spacing w:line="360" w:lineRule="exact"/>
        <w:ind w:firstLine="480"/>
        <w:jc w:val="left"/>
        <w:rPr>
          <w:rFonts w:ascii="宋体" w:hAnsi="宋体"/>
          <w:kern w:val="0"/>
          <w:sz w:val="24"/>
        </w:rPr>
      </w:pPr>
      <w:r>
        <w:rPr>
          <w:rFonts w:ascii="宋体" w:hAnsi="宋体"/>
          <w:kern w:val="0"/>
          <w:sz w:val="24"/>
        </w:rPr>
        <w:t>8.4.1 发包人供应</w:t>
      </w:r>
      <w:r>
        <w:rPr>
          <w:rFonts w:ascii="宋体" w:hAnsi="宋体"/>
          <w:sz w:val="24"/>
        </w:rPr>
        <w:t>材料与</w:t>
      </w:r>
      <w:r>
        <w:rPr>
          <w:rFonts w:ascii="宋体" w:hAnsi="宋体"/>
          <w:kern w:val="0"/>
          <w:sz w:val="24"/>
        </w:rPr>
        <w:t>工程</w:t>
      </w:r>
      <w:r>
        <w:rPr>
          <w:rFonts w:ascii="宋体" w:hAnsi="宋体"/>
          <w:sz w:val="24"/>
        </w:rPr>
        <w:t>设备的保管与使用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发包人供应的材料和工程设备使用前，由承包人负责检验，检验费用由发包人承担，不合格的不得使用。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8.4.2 承包人采购</w:t>
      </w:r>
      <w:r>
        <w:rPr>
          <w:rFonts w:ascii="宋体" w:hAnsi="宋体"/>
          <w:sz w:val="24"/>
        </w:rPr>
        <w:t>材料与</w:t>
      </w:r>
      <w:r>
        <w:rPr>
          <w:rFonts w:ascii="宋体" w:hAnsi="宋体"/>
          <w:kern w:val="0"/>
          <w:sz w:val="24"/>
        </w:rPr>
        <w:t>工程</w:t>
      </w:r>
      <w:r>
        <w:rPr>
          <w:rFonts w:ascii="宋体" w:hAnsi="宋体"/>
          <w:sz w:val="24"/>
        </w:rPr>
        <w:t>设备的保管与使用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发包人或监理人发现承包人使用不符合设计或有关标准要求的材料和工程设备时，有权要求承包人进行修复、拆除或重新采购，由此增加的费用和（或）延误的工期，由承包人承担。</w:t>
      </w:r>
    </w:p>
    <w:p>
      <w:pPr>
        <w:pStyle w:val="7"/>
        <w:spacing w:before="120" w:after="120"/>
        <w:ind w:firstLine="420"/>
        <w:rPr>
          <w:bCs w:val="0"/>
          <w:szCs w:val="24"/>
        </w:rPr>
      </w:pPr>
      <w:bookmarkStart w:id="231" w:name="_Toc18683197"/>
      <w:r>
        <w:rPr>
          <w:bCs w:val="0"/>
          <w:szCs w:val="24"/>
        </w:rPr>
        <w:t>8.5禁止使用不合格的材料和工程设备</w:t>
      </w:r>
      <w:bookmarkEnd w:id="231"/>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8.5.3 发包人提供的材料或工程设备不符合合同要求的，承包人有权拒绝，并可要求发包人更换，由此增加的费用和（或）延误的工期由发包人承担</w:t>
      </w:r>
      <w:r>
        <w:rPr>
          <w:rFonts w:hint="eastAsia" w:ascii="宋体" w:hAnsi="宋体"/>
          <w:kern w:val="0"/>
          <w:sz w:val="24"/>
        </w:rPr>
        <w:t>，并支付承包人合理的利润</w:t>
      </w:r>
      <w:r>
        <w:rPr>
          <w:rFonts w:ascii="宋体" w:hAnsi="宋体"/>
          <w:kern w:val="0"/>
          <w:sz w:val="24"/>
        </w:rPr>
        <w:t>。</w:t>
      </w:r>
    </w:p>
    <w:p>
      <w:pPr>
        <w:pStyle w:val="7"/>
        <w:spacing w:before="120" w:after="120"/>
        <w:ind w:firstLine="420"/>
        <w:rPr>
          <w:bCs w:val="0"/>
          <w:szCs w:val="24"/>
        </w:rPr>
      </w:pPr>
      <w:bookmarkStart w:id="232" w:name="_Toc18683198"/>
      <w:r>
        <w:rPr>
          <w:bCs w:val="0"/>
          <w:szCs w:val="24"/>
        </w:rPr>
        <w:t>8.6 样品</w:t>
      </w:r>
      <w:bookmarkEnd w:id="23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8.6.1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需要承包人报送样品的材料或工程设备，样品的种类、名称、规格、数量等要求均应在专用合同条款中约定。样品的报送程序如下：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（3）经发包人和监理人审批确认的样品</w:t>
      </w:r>
      <w:r>
        <w:rPr>
          <w:rFonts w:hint="eastAsia" w:ascii="宋体" w:hAnsi="宋体"/>
          <w:kern w:val="0"/>
          <w:sz w:val="24"/>
        </w:rPr>
        <w:t>应按约定的方法封样，封存的样品</w:t>
      </w:r>
      <w:r>
        <w:rPr>
          <w:rFonts w:ascii="宋体" w:hAnsi="宋体"/>
          <w:kern w:val="0"/>
          <w:sz w:val="24"/>
        </w:rPr>
        <w:t>作为检验工程相关部分的标准之一。承包人在施工过程中不得使用与样品不符的材料或工程设备。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（4）发包人和监理人对样品的审批确认仅为确认相关材料或工程设备的特征或用途，不得被理解为对合同的修改或改变，也并不减轻或免除承包人任何的责任和义务。</w:t>
      </w:r>
      <w:r>
        <w:rPr>
          <w:rFonts w:hint="eastAsia" w:ascii="宋体" w:hAnsi="宋体"/>
          <w:kern w:val="0"/>
          <w:sz w:val="24"/>
        </w:rPr>
        <w:t>如果封存的样品修改或改变了合同约定，合同当事人应当以书面协议予以确认。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8.6.2 样品的保管</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经批准的样品应由监理人负责封存于现场，承包人应在现场为保存样品提供适当和固定的场所并保持适当和良好的存储环境条件。</w:t>
      </w:r>
    </w:p>
    <w:p>
      <w:pPr>
        <w:pStyle w:val="7"/>
        <w:spacing w:before="120" w:after="120"/>
        <w:ind w:firstLine="420"/>
        <w:rPr>
          <w:bCs w:val="0"/>
          <w:szCs w:val="24"/>
        </w:rPr>
      </w:pPr>
      <w:bookmarkStart w:id="233" w:name="_Toc18683199"/>
      <w:r>
        <w:rPr>
          <w:bCs w:val="0"/>
          <w:szCs w:val="24"/>
        </w:rPr>
        <w:t>8.7材料与工程设备的替代</w:t>
      </w:r>
      <w:bookmarkEnd w:id="233"/>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8.7.1 出现下列情况需要使用替代材料和工程设备的，承包人应按照第8.7.2项约定的程序执行：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（1）基准日</w:t>
      </w:r>
      <w:r>
        <w:rPr>
          <w:rFonts w:hint="eastAsia" w:ascii="宋体" w:hAnsi="宋体"/>
          <w:kern w:val="0"/>
          <w:sz w:val="24"/>
        </w:rPr>
        <w:t>期</w:t>
      </w:r>
      <w:r>
        <w:rPr>
          <w:rFonts w:ascii="宋体" w:hAnsi="宋体"/>
          <w:kern w:val="0"/>
          <w:sz w:val="24"/>
        </w:rPr>
        <w:t>后生效的法律规定禁止使用的；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（2）发包人要求使用替代品的；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（3）因其他原因必须使用替代品的。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8.7.2 承包人应在使用替代材料和工程设备28天前书面通知监理人，并附下列文件：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（1）被替代的材料和工程设备的名称、数量、规格、型号、品牌、性能、价格及其他相关资料；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（2）替代品的名称、数量、规格、型号、品牌、性能、价格及其他相关资料；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（3）替代品与被替代产品之间的差异以及使用替代品可能对工程产生的影响；</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（4）替代品与被替代产品的价格差异；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（5）使用替代品的理由和原因说明；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（6）监理人要求的其他文件。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8.7.3 发包人认可使用替代材料和工程设备的，替代材料和工程设备的价格，按照已标价工程量清单或预算书相同项目的价格认定；无相同项目的，参考相似项目价格认定；</w:t>
      </w:r>
      <w:r>
        <w:rPr>
          <w:rFonts w:hint="eastAsia" w:ascii="宋体" w:hAnsi="宋体"/>
          <w:kern w:val="0"/>
          <w:sz w:val="24"/>
        </w:rPr>
        <w:t>既无</w:t>
      </w:r>
      <w:r>
        <w:rPr>
          <w:rFonts w:ascii="宋体" w:hAnsi="宋体"/>
          <w:kern w:val="0"/>
          <w:sz w:val="24"/>
        </w:rPr>
        <w:t>相同项目</w:t>
      </w:r>
      <w:r>
        <w:rPr>
          <w:rFonts w:hint="eastAsia" w:ascii="宋体" w:hAnsi="宋体"/>
          <w:kern w:val="0"/>
          <w:sz w:val="24"/>
        </w:rPr>
        <w:t>也</w:t>
      </w:r>
      <w:r>
        <w:rPr>
          <w:rFonts w:ascii="宋体" w:hAnsi="宋体"/>
          <w:kern w:val="0"/>
          <w:sz w:val="24"/>
        </w:rPr>
        <w:t>无相似项目的，</w:t>
      </w:r>
      <w:r>
        <w:rPr>
          <w:rFonts w:hint="eastAsia" w:ascii="宋体" w:hAnsi="宋体"/>
          <w:kern w:val="0"/>
          <w:sz w:val="24"/>
        </w:rPr>
        <w:t>按照合理的成本与利润构成的原则，</w:t>
      </w:r>
      <w:r>
        <w:rPr>
          <w:rFonts w:ascii="宋体" w:hAnsi="宋体"/>
          <w:kern w:val="0"/>
          <w:sz w:val="24"/>
        </w:rPr>
        <w:t>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确定价格。</w:t>
      </w:r>
    </w:p>
    <w:p>
      <w:pPr>
        <w:pStyle w:val="7"/>
        <w:spacing w:before="120" w:after="120"/>
        <w:ind w:firstLine="420"/>
        <w:rPr>
          <w:bCs w:val="0"/>
          <w:szCs w:val="24"/>
        </w:rPr>
      </w:pPr>
      <w:bookmarkStart w:id="234" w:name="_Toc18683200"/>
      <w:r>
        <w:rPr>
          <w:bCs w:val="0"/>
          <w:szCs w:val="24"/>
        </w:rPr>
        <w:t>8.8施工设备和临时设施</w:t>
      </w:r>
      <w:bookmarkEnd w:id="23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8.8.1 承包人提供的施工设备和临时设施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8.8.2发包人提供的施工设备和临时设施</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发包人提供的施工设备或临时设施在专用合同条款中约定。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8.8.3要求承包人增加或更换施工设备</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120" w:after="120"/>
        <w:ind w:firstLine="420"/>
        <w:rPr>
          <w:bCs w:val="0"/>
          <w:szCs w:val="24"/>
        </w:rPr>
      </w:pPr>
      <w:bookmarkStart w:id="235" w:name="_Toc18683201"/>
      <w:r>
        <w:rPr>
          <w:bCs w:val="0"/>
          <w:szCs w:val="24"/>
        </w:rPr>
        <w:t>8</w:t>
      </w:r>
      <w:bookmarkStart w:id="236" w:name="_Toc296503063"/>
      <w:bookmarkStart w:id="237" w:name="_Toc296346564"/>
      <w:bookmarkStart w:id="238" w:name="_Toc337558781"/>
      <w:r>
        <w:rPr>
          <w:bCs w:val="0"/>
          <w:szCs w:val="24"/>
        </w:rPr>
        <w:t>.9材料与设备专用</w:t>
      </w:r>
      <w:r>
        <w:rPr>
          <w:rFonts w:hint="eastAsia"/>
          <w:bCs w:val="0"/>
          <w:szCs w:val="24"/>
        </w:rPr>
        <w:t>要求</w:t>
      </w:r>
      <w:bookmarkEnd w:id="235"/>
    </w:p>
    <w:bookmarkEnd w:id="236"/>
    <w:bookmarkEnd w:id="237"/>
    <w:bookmarkEnd w:id="238"/>
    <w:p>
      <w:pPr>
        <w:spacing w:line="360" w:lineRule="exact"/>
        <w:ind w:firstLine="480"/>
        <w:jc w:val="left"/>
        <w:rPr>
          <w:rFonts w:ascii="宋体" w:hAnsi="宋体"/>
          <w:kern w:val="0"/>
          <w:sz w:val="24"/>
        </w:rPr>
      </w:pPr>
      <w:r>
        <w:rPr>
          <w:rFonts w:ascii="宋体" w:hAnsi="宋体"/>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17"/>
      <w:r>
        <w:rPr>
          <w:rFonts w:ascii="宋体" w:hAnsi="宋体"/>
          <w:kern w:val="0"/>
          <w:sz w:val="24"/>
        </w:rPr>
        <w:t>经发包人批准，承包人可以根据施工进度计划撤走闲置的施工设备和其他物品。</w:t>
      </w:r>
    </w:p>
    <w:p>
      <w:pPr>
        <w:pStyle w:val="6"/>
        <w:ind w:left="103" w:leftChars="0" w:firstLineChars="0"/>
      </w:pPr>
      <w:bookmarkStart w:id="239" w:name="_Toc18683202"/>
      <w:r>
        <w:t>9</w:t>
      </w:r>
      <w:bookmarkStart w:id="240" w:name="_Toc337558782"/>
      <w:bookmarkStart w:id="241" w:name="_Toc296503083"/>
      <w:bookmarkStart w:id="242" w:name="_Toc296346584"/>
      <w:r>
        <w:t>. 试验与检验</w:t>
      </w:r>
      <w:bookmarkEnd w:id="239"/>
    </w:p>
    <w:bookmarkEnd w:id="240"/>
    <w:p>
      <w:pPr>
        <w:pStyle w:val="7"/>
        <w:spacing w:before="120" w:after="120"/>
        <w:ind w:firstLine="420"/>
        <w:rPr>
          <w:bCs w:val="0"/>
          <w:szCs w:val="24"/>
        </w:rPr>
      </w:pPr>
      <w:bookmarkStart w:id="243" w:name="_Toc18683203"/>
      <w:r>
        <w:rPr>
          <w:bCs w:val="0"/>
          <w:szCs w:val="24"/>
        </w:rPr>
        <w:t>9</w:t>
      </w:r>
      <w:bookmarkStart w:id="244" w:name="_Toc337558783"/>
      <w:r>
        <w:rPr>
          <w:bCs w:val="0"/>
          <w:szCs w:val="24"/>
        </w:rPr>
        <w:t>.1试验设备与试验人员</w:t>
      </w:r>
      <w:bookmarkEnd w:id="243"/>
    </w:p>
    <w:bookmarkEnd w:id="244"/>
    <w:p>
      <w:pPr>
        <w:spacing w:line="360" w:lineRule="exact"/>
        <w:ind w:firstLine="480"/>
        <w:jc w:val="left"/>
        <w:rPr>
          <w:rFonts w:ascii="宋体" w:hAnsi="宋体"/>
          <w:kern w:val="0"/>
          <w:sz w:val="24"/>
        </w:rPr>
      </w:pPr>
      <w:r>
        <w:rPr>
          <w:rFonts w:ascii="宋体" w:hAnsi="宋体"/>
          <w:kern w:val="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exact"/>
        <w:ind w:firstLine="480"/>
        <w:jc w:val="left"/>
        <w:rPr>
          <w:rFonts w:ascii="宋体" w:hAnsi="宋体"/>
          <w:kern w:val="0"/>
          <w:sz w:val="24"/>
        </w:rPr>
      </w:pPr>
      <w:r>
        <w:rPr>
          <w:rFonts w:ascii="宋体" w:hAnsi="宋体"/>
          <w:kern w:val="0"/>
          <w:sz w:val="24"/>
        </w:rPr>
        <w:t>9.1.2 承包人应按专用合同条款的约定提供试验设备、取样装置、试验场所和试验条件，并向监理人提交相应进场计划表。</w:t>
      </w:r>
    </w:p>
    <w:p>
      <w:pPr>
        <w:spacing w:line="360" w:lineRule="exact"/>
        <w:ind w:firstLine="480"/>
        <w:jc w:val="left"/>
        <w:rPr>
          <w:rFonts w:ascii="宋体" w:hAnsi="宋体"/>
          <w:kern w:val="0"/>
          <w:sz w:val="24"/>
        </w:rPr>
      </w:pPr>
      <w:r>
        <w:rPr>
          <w:rFonts w:ascii="宋体" w:hAnsi="宋体"/>
          <w:kern w:val="0"/>
          <w:sz w:val="24"/>
        </w:rPr>
        <w:t>承包人配置的试验设备要符合相应试验规程的要求并经过具有资质的检测单位检测，且在正式使用该试验设备前，需要经过监理人与承包人共同校定。</w:t>
      </w:r>
    </w:p>
    <w:p>
      <w:pPr>
        <w:spacing w:line="360" w:lineRule="exact"/>
        <w:ind w:firstLine="480"/>
        <w:jc w:val="left"/>
        <w:rPr>
          <w:rFonts w:ascii="宋体" w:hAnsi="宋体"/>
          <w:kern w:val="0"/>
          <w:sz w:val="24"/>
        </w:rPr>
      </w:pPr>
      <w:r>
        <w:rPr>
          <w:rFonts w:ascii="宋体" w:hAnsi="宋体"/>
          <w:kern w:val="0"/>
          <w:sz w:val="24"/>
        </w:rPr>
        <w:t>9.1.3 承包人应向监理人提交试验人员的名单及其岗位、资格等证明资料，试验人员必须能够熟练进行相应的检测试验，承包人对试验人员的试验程序和试验结果的正确性负责。</w:t>
      </w:r>
    </w:p>
    <w:p>
      <w:pPr>
        <w:pStyle w:val="7"/>
        <w:spacing w:before="120" w:after="120"/>
        <w:ind w:firstLine="420"/>
        <w:rPr>
          <w:bCs w:val="0"/>
          <w:szCs w:val="24"/>
        </w:rPr>
      </w:pPr>
      <w:bookmarkStart w:id="245" w:name="_Toc18683204"/>
      <w:r>
        <w:rPr>
          <w:bCs w:val="0"/>
          <w:szCs w:val="24"/>
        </w:rPr>
        <w:t>9</w:t>
      </w:r>
      <w:bookmarkStart w:id="246" w:name="_Toc337558784"/>
      <w:r>
        <w:rPr>
          <w:bCs w:val="0"/>
          <w:szCs w:val="24"/>
        </w:rPr>
        <w:t>.2取样</w:t>
      </w:r>
      <w:bookmarkEnd w:id="245"/>
    </w:p>
    <w:bookmarkEnd w:id="246"/>
    <w:p>
      <w:pPr>
        <w:spacing w:line="360" w:lineRule="exact"/>
        <w:ind w:firstLine="480"/>
        <w:jc w:val="left"/>
        <w:rPr>
          <w:rFonts w:ascii="宋体" w:hAnsi="宋体"/>
          <w:kern w:val="0"/>
          <w:sz w:val="24"/>
        </w:rPr>
      </w:pPr>
      <w:r>
        <w:rPr>
          <w:rFonts w:ascii="宋体" w:hAnsi="宋体"/>
          <w:kern w:val="0"/>
          <w:sz w:val="24"/>
        </w:rPr>
        <w:t>试验属于自检性质的，承包人可以单独取样。试验属于监理人抽检性质的，可由监理人取样，也可由承包人的试验人员在监理人的监督下取样。</w:t>
      </w:r>
    </w:p>
    <w:p>
      <w:pPr>
        <w:pStyle w:val="7"/>
        <w:spacing w:before="120" w:after="120"/>
        <w:ind w:firstLine="420"/>
        <w:rPr>
          <w:bCs w:val="0"/>
          <w:szCs w:val="24"/>
        </w:rPr>
      </w:pPr>
      <w:bookmarkStart w:id="247" w:name="_Toc18683205"/>
      <w:r>
        <w:rPr>
          <w:bCs w:val="0"/>
          <w:szCs w:val="24"/>
        </w:rPr>
        <w:t>9</w:t>
      </w:r>
      <w:bookmarkStart w:id="248" w:name="_Toc337558785"/>
      <w:r>
        <w:rPr>
          <w:bCs w:val="0"/>
          <w:szCs w:val="24"/>
        </w:rPr>
        <w:t>.3材料、工程设备和工程的试验和检验</w:t>
      </w:r>
      <w:bookmarkEnd w:id="247"/>
    </w:p>
    <w:bookmarkEnd w:id="248"/>
    <w:p>
      <w:pPr>
        <w:spacing w:line="360" w:lineRule="exact"/>
        <w:ind w:firstLine="480"/>
        <w:jc w:val="left"/>
        <w:rPr>
          <w:rFonts w:ascii="宋体" w:hAnsi="宋体"/>
          <w:kern w:val="0"/>
          <w:sz w:val="24"/>
        </w:rPr>
      </w:pPr>
      <w:r>
        <w:rPr>
          <w:rFonts w:ascii="宋体" w:hAnsi="宋体"/>
          <w:kern w:val="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exact"/>
        <w:ind w:firstLine="480"/>
        <w:jc w:val="left"/>
        <w:rPr>
          <w:rFonts w:ascii="宋体" w:hAnsi="宋体"/>
          <w:kern w:val="0"/>
          <w:sz w:val="24"/>
        </w:rPr>
      </w:pPr>
      <w:r>
        <w:rPr>
          <w:rFonts w:ascii="宋体" w:hAnsi="宋体"/>
          <w:kern w:val="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exact"/>
        <w:ind w:firstLine="480"/>
        <w:jc w:val="left"/>
        <w:rPr>
          <w:rFonts w:ascii="宋体" w:hAnsi="宋体"/>
          <w:kern w:val="0"/>
          <w:sz w:val="24"/>
        </w:rPr>
      </w:pPr>
      <w:r>
        <w:rPr>
          <w:rFonts w:ascii="宋体" w:hAnsi="宋体"/>
          <w:kern w:val="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120" w:after="120"/>
        <w:ind w:firstLine="420"/>
        <w:rPr>
          <w:bCs w:val="0"/>
          <w:szCs w:val="24"/>
        </w:rPr>
      </w:pPr>
      <w:bookmarkStart w:id="249" w:name="_Toc18683206"/>
      <w:r>
        <w:rPr>
          <w:bCs w:val="0"/>
          <w:szCs w:val="24"/>
        </w:rPr>
        <w:t>9</w:t>
      </w:r>
      <w:bookmarkStart w:id="250" w:name="_Toc337558786"/>
      <w:r>
        <w:rPr>
          <w:bCs w:val="0"/>
          <w:szCs w:val="24"/>
        </w:rPr>
        <w:t>.4现场工艺试验</w:t>
      </w:r>
      <w:bookmarkEnd w:id="249"/>
    </w:p>
    <w:bookmarkEnd w:id="250"/>
    <w:p>
      <w:pPr>
        <w:spacing w:line="360" w:lineRule="exact"/>
        <w:ind w:firstLine="480"/>
        <w:jc w:val="left"/>
        <w:rPr>
          <w:rFonts w:ascii="宋体" w:hAnsi="宋体"/>
          <w:kern w:val="0"/>
          <w:sz w:val="24"/>
        </w:rPr>
      </w:pPr>
      <w:r>
        <w:rPr>
          <w:rFonts w:ascii="宋体" w:hAnsi="宋体"/>
          <w:kern w:val="0"/>
          <w:sz w:val="24"/>
        </w:rPr>
        <w:t>承包人应按合同约定或监理人指示进行现场工艺试验。对大型的现场工艺试验，监理人认为必要时，承包人应根据监理人提出的工艺试验要求，编制工艺试验措施计划，报送监理人审查。</w:t>
      </w:r>
    </w:p>
    <w:p>
      <w:pPr>
        <w:pStyle w:val="6"/>
        <w:ind w:left="103" w:leftChars="0" w:firstLineChars="0"/>
      </w:pPr>
      <w:bookmarkStart w:id="251" w:name="_Toc18683207"/>
      <w:r>
        <w:t>1</w:t>
      </w:r>
      <w:bookmarkStart w:id="252" w:name="_Toc337558787"/>
      <w:r>
        <w:t>0. 变更</w:t>
      </w:r>
      <w:bookmarkEnd w:id="241"/>
      <w:bookmarkEnd w:id="242"/>
      <w:bookmarkEnd w:id="251"/>
    </w:p>
    <w:bookmarkEnd w:id="252"/>
    <w:p>
      <w:pPr>
        <w:pStyle w:val="7"/>
        <w:spacing w:before="120" w:after="120"/>
        <w:ind w:firstLine="420"/>
        <w:rPr>
          <w:bCs w:val="0"/>
          <w:szCs w:val="24"/>
        </w:rPr>
      </w:pPr>
      <w:bookmarkStart w:id="253" w:name="_Toc18683208"/>
      <w:r>
        <w:rPr>
          <w:bCs w:val="0"/>
          <w:szCs w:val="24"/>
        </w:rPr>
        <w:t>1</w:t>
      </w:r>
      <w:bookmarkStart w:id="254" w:name="_Toc296346585"/>
      <w:bookmarkStart w:id="255" w:name="_Toc337558788"/>
      <w:bookmarkStart w:id="256" w:name="_Toc296503084"/>
      <w:r>
        <w:rPr>
          <w:bCs w:val="0"/>
          <w:szCs w:val="24"/>
        </w:rPr>
        <w:t>0.1变更的范围</w:t>
      </w:r>
      <w:bookmarkEnd w:id="253"/>
    </w:p>
    <w:bookmarkEnd w:id="254"/>
    <w:bookmarkEnd w:id="255"/>
    <w:bookmarkEnd w:id="256"/>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除专用合同条款另有约定外，合同履行过程中发生以下情形的，应按照本条约定进行变更：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（1）增加或减少合同中任何工作，或追加额外的工作；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（2）取消合同中任何工作，但转由他人实施的工作除外；</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（3）改变合同中任何工作的质量标准或其他特性；</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（4）改变工程的基线、标高、位置和尺寸；</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（5）改变工程的时间安排或实施顺序。</w:t>
      </w:r>
    </w:p>
    <w:p>
      <w:pPr>
        <w:pStyle w:val="7"/>
        <w:spacing w:before="120" w:after="120"/>
        <w:ind w:firstLine="420"/>
        <w:rPr>
          <w:bCs w:val="0"/>
          <w:szCs w:val="24"/>
        </w:rPr>
      </w:pPr>
      <w:bookmarkStart w:id="257" w:name="_Toc18683209"/>
      <w:r>
        <w:rPr>
          <w:bCs w:val="0"/>
          <w:szCs w:val="24"/>
        </w:rPr>
        <w:t>1</w:t>
      </w:r>
      <w:bookmarkStart w:id="258" w:name="_Toc337558789"/>
      <w:bookmarkStart w:id="259" w:name="_Toc296346586"/>
      <w:bookmarkStart w:id="260" w:name="_Toc296503085"/>
      <w:r>
        <w:rPr>
          <w:bCs w:val="0"/>
          <w:szCs w:val="24"/>
        </w:rPr>
        <w:t>0.2变更权</w:t>
      </w:r>
      <w:bookmarkEnd w:id="257"/>
    </w:p>
    <w:bookmarkEnd w:id="258"/>
    <w:bookmarkEnd w:id="259"/>
    <w:bookmarkEnd w:id="26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涉及设计变更的，应由设计人提供变更后的图纸和说明。如变更超过原设计标准或批准的建设规模时，发包人应及时办理规划、设计变更</w:t>
      </w:r>
      <w:r>
        <w:rPr>
          <w:rFonts w:hint="eastAsia" w:ascii="宋体" w:hAnsi="宋体"/>
          <w:kern w:val="0"/>
          <w:sz w:val="24"/>
        </w:rPr>
        <w:t>等</w:t>
      </w:r>
      <w:r>
        <w:rPr>
          <w:rFonts w:ascii="宋体" w:hAnsi="宋体"/>
          <w:kern w:val="0"/>
          <w:sz w:val="24"/>
        </w:rPr>
        <w:t>审批手续。</w:t>
      </w:r>
    </w:p>
    <w:p>
      <w:pPr>
        <w:pStyle w:val="7"/>
        <w:spacing w:before="120" w:after="120"/>
        <w:ind w:firstLine="420"/>
        <w:rPr>
          <w:bCs w:val="0"/>
          <w:szCs w:val="24"/>
        </w:rPr>
      </w:pPr>
      <w:bookmarkStart w:id="261" w:name="_Toc18683210"/>
      <w:r>
        <w:rPr>
          <w:bCs w:val="0"/>
          <w:szCs w:val="24"/>
        </w:rPr>
        <w:t>1</w:t>
      </w:r>
      <w:bookmarkStart w:id="262" w:name="_Toc296346587"/>
      <w:bookmarkStart w:id="263" w:name="_Toc337558790"/>
      <w:bookmarkStart w:id="264" w:name="_Toc296503086"/>
      <w:r>
        <w:rPr>
          <w:bCs w:val="0"/>
          <w:szCs w:val="24"/>
        </w:rPr>
        <w:t>0.3变更程序</w:t>
      </w:r>
      <w:bookmarkEnd w:id="261"/>
    </w:p>
    <w:bookmarkEnd w:id="262"/>
    <w:bookmarkEnd w:id="263"/>
    <w:bookmarkEnd w:id="264"/>
    <w:p>
      <w:pPr>
        <w:autoSpaceDE w:val="0"/>
        <w:autoSpaceDN w:val="0"/>
        <w:adjustRightInd w:val="0"/>
        <w:spacing w:line="360" w:lineRule="exact"/>
        <w:ind w:firstLine="480"/>
        <w:jc w:val="left"/>
        <w:rPr>
          <w:rFonts w:ascii="宋体" w:hAnsi="宋体"/>
          <w:kern w:val="0"/>
          <w:sz w:val="24"/>
        </w:rPr>
      </w:pPr>
      <w:r>
        <w:rPr>
          <w:rFonts w:ascii="宋体" w:hAnsi="宋体"/>
          <w:sz w:val="24"/>
        </w:rPr>
        <w:t>10</w:t>
      </w:r>
      <w:r>
        <w:rPr>
          <w:rFonts w:ascii="宋体" w:hAnsi="宋体"/>
          <w:kern w:val="0"/>
          <w:sz w:val="24"/>
        </w:rPr>
        <w:t>.3.1 发包人提出变更</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发包人提出变更的，应通过监理人向承包人发出变更指示，变更指示应说明计划变更的工程范围和变更的内容。</w:t>
      </w:r>
    </w:p>
    <w:p>
      <w:pPr>
        <w:autoSpaceDE w:val="0"/>
        <w:autoSpaceDN w:val="0"/>
        <w:adjustRightInd w:val="0"/>
        <w:spacing w:line="360" w:lineRule="exact"/>
        <w:ind w:firstLine="480"/>
        <w:jc w:val="left"/>
        <w:rPr>
          <w:rFonts w:ascii="宋体" w:hAnsi="宋体"/>
          <w:kern w:val="0"/>
          <w:sz w:val="24"/>
        </w:rPr>
      </w:pPr>
      <w:r>
        <w:rPr>
          <w:rFonts w:ascii="宋体" w:hAnsi="宋体"/>
          <w:sz w:val="24"/>
        </w:rPr>
        <w:t>10</w:t>
      </w:r>
      <w:r>
        <w:rPr>
          <w:rFonts w:ascii="宋体" w:hAnsi="宋体"/>
          <w:kern w:val="0"/>
          <w:sz w:val="24"/>
        </w:rPr>
        <w:t>.3.2 监理人提出变更建议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exact"/>
        <w:ind w:firstLine="480"/>
        <w:jc w:val="left"/>
        <w:rPr>
          <w:rFonts w:ascii="宋体" w:hAnsi="宋体"/>
          <w:sz w:val="24"/>
        </w:rPr>
      </w:pPr>
      <w:r>
        <w:rPr>
          <w:rFonts w:hint="eastAsia" w:ascii="宋体" w:hAnsi="宋体"/>
          <w:sz w:val="24"/>
        </w:rPr>
        <w:t>10.3.3 变更执行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承包人收到监理人下达的变更指示后，</w:t>
      </w:r>
      <w:r>
        <w:rPr>
          <w:rFonts w:hint="eastAsia" w:ascii="宋体" w:hAnsi="宋体"/>
          <w:kern w:val="0"/>
          <w:sz w:val="24"/>
        </w:rPr>
        <w:t>认为不能执行，应立即</w:t>
      </w:r>
      <w:r>
        <w:rPr>
          <w:rFonts w:ascii="宋体" w:hAnsi="宋体"/>
          <w:kern w:val="0"/>
          <w:sz w:val="24"/>
        </w:rPr>
        <w:t>提出不能执行该变更指示的理由。承包人</w:t>
      </w:r>
      <w:r>
        <w:rPr>
          <w:rFonts w:hint="eastAsia" w:ascii="宋体" w:hAnsi="宋体"/>
          <w:kern w:val="0"/>
          <w:sz w:val="24"/>
        </w:rPr>
        <w:t>认为可以</w:t>
      </w:r>
      <w:r>
        <w:rPr>
          <w:rFonts w:ascii="宋体" w:hAnsi="宋体"/>
          <w:kern w:val="0"/>
          <w:sz w:val="24"/>
        </w:rPr>
        <w:t>执行变更的，</w:t>
      </w:r>
      <w:r>
        <w:rPr>
          <w:rFonts w:hint="eastAsia" w:ascii="宋体" w:hAnsi="宋体"/>
          <w:kern w:val="0"/>
          <w:sz w:val="24"/>
        </w:rPr>
        <w:t>应当书面说明实施该变更指示对合同价格和工期的影响，且合同当事人应当按照第10.4款〔变更估价〕约定确定变更估价</w:t>
      </w:r>
      <w:r>
        <w:rPr>
          <w:rFonts w:ascii="宋体" w:hAnsi="宋体"/>
          <w:kern w:val="0"/>
          <w:sz w:val="24"/>
        </w:rPr>
        <w:t>。</w:t>
      </w:r>
    </w:p>
    <w:p>
      <w:pPr>
        <w:pStyle w:val="7"/>
        <w:spacing w:before="120" w:after="120"/>
        <w:ind w:firstLine="420"/>
        <w:rPr>
          <w:bCs w:val="0"/>
          <w:szCs w:val="24"/>
        </w:rPr>
      </w:pPr>
      <w:bookmarkStart w:id="265" w:name="_Toc18683211"/>
      <w:r>
        <w:rPr>
          <w:bCs w:val="0"/>
          <w:szCs w:val="24"/>
        </w:rPr>
        <w:t>1</w:t>
      </w:r>
      <w:bookmarkStart w:id="266" w:name="_Toc296503087"/>
      <w:bookmarkStart w:id="267" w:name="_Toc296346588"/>
      <w:bookmarkStart w:id="268" w:name="_Toc337558791"/>
      <w:r>
        <w:rPr>
          <w:bCs w:val="0"/>
          <w:szCs w:val="24"/>
        </w:rPr>
        <w:t>0.4变更估价</w:t>
      </w:r>
      <w:bookmarkEnd w:id="265"/>
    </w:p>
    <w:bookmarkEnd w:id="266"/>
    <w:bookmarkEnd w:id="267"/>
    <w:bookmarkEnd w:id="268"/>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10.4.1 变更估价原则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除专用合同条款另有约定外，变更估价按照本款约定处理：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（1）已标价工程量清单或预算书有相同项目的，按照相同项目单价认定；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（2）已标价工程量清单或预算书中无相同项目，但有类似项目的，参照类似项目的单价认定；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确定变更工作的单价。</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10.4.2 变更估价程序</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承包人应在收到变更指示后14天内，向监理人提交变更估价申请。监理人应在收到承包人提交的变更估价申请后7天内审查完毕并报送发包人，监理人对变更估价申请有异议</w:t>
      </w:r>
      <w:r>
        <w:rPr>
          <w:rFonts w:ascii="宋体" w:hAnsi="宋体"/>
          <w:kern w:val="0"/>
          <w:sz w:val="24"/>
        </w:rPr>
        <w:t>，通知承包人</w:t>
      </w:r>
      <w:r>
        <w:rPr>
          <w:rFonts w:hint="eastAsia" w:ascii="宋体" w:hAnsi="宋体"/>
          <w:kern w:val="0"/>
          <w:sz w:val="24"/>
        </w:rPr>
        <w:t>修</w:t>
      </w:r>
      <w:r>
        <w:rPr>
          <w:rFonts w:ascii="宋体" w:hAnsi="宋体"/>
          <w:kern w:val="0"/>
          <w:sz w:val="24"/>
        </w:rPr>
        <w:t>改</w:t>
      </w:r>
      <w:r>
        <w:rPr>
          <w:rFonts w:hint="eastAsia" w:ascii="宋体" w:hAnsi="宋体"/>
          <w:kern w:val="0"/>
          <w:sz w:val="24"/>
        </w:rPr>
        <w:t>后重新提交</w:t>
      </w:r>
      <w:r>
        <w:rPr>
          <w:rFonts w:ascii="宋体" w:hAnsi="宋体"/>
          <w:kern w:val="0"/>
          <w:sz w:val="24"/>
        </w:rPr>
        <w:t>。发包人应在</w:t>
      </w:r>
      <w:r>
        <w:rPr>
          <w:rFonts w:hint="eastAsia" w:ascii="宋体" w:hAnsi="宋体"/>
          <w:kern w:val="0"/>
          <w:sz w:val="24"/>
        </w:rPr>
        <w:t>承包人提交变更估价申请</w:t>
      </w:r>
      <w:r>
        <w:rPr>
          <w:rFonts w:ascii="宋体" w:hAnsi="宋体"/>
          <w:kern w:val="0"/>
          <w:sz w:val="24"/>
        </w:rPr>
        <w:t>后</w:t>
      </w:r>
      <w:r>
        <w:rPr>
          <w:rFonts w:hint="eastAsia" w:ascii="宋体" w:hAnsi="宋体"/>
          <w:kern w:val="0"/>
          <w:sz w:val="24"/>
        </w:rPr>
        <w:t>14</w:t>
      </w:r>
      <w:r>
        <w:rPr>
          <w:rFonts w:ascii="宋体" w:hAnsi="宋体"/>
          <w:kern w:val="0"/>
          <w:sz w:val="24"/>
        </w:rPr>
        <w:t>天内审批完毕。</w:t>
      </w:r>
      <w:r>
        <w:rPr>
          <w:rFonts w:hint="eastAsia" w:ascii="宋体" w:hAnsi="宋体"/>
          <w:kern w:val="0"/>
          <w:sz w:val="24"/>
        </w:rPr>
        <w:t>发包人逾期未完成审批或未提出异议的，视为认可承包人提交的变更估价申请。</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因变更引起的价格调整应计入最近一期的进度款中支付。</w:t>
      </w:r>
    </w:p>
    <w:p>
      <w:pPr>
        <w:pStyle w:val="7"/>
        <w:spacing w:before="120" w:after="120"/>
        <w:ind w:firstLine="420"/>
        <w:rPr>
          <w:bCs w:val="0"/>
          <w:szCs w:val="24"/>
        </w:rPr>
      </w:pPr>
      <w:bookmarkStart w:id="269" w:name="_Toc18683212"/>
      <w:r>
        <w:rPr>
          <w:bCs w:val="0"/>
          <w:szCs w:val="24"/>
        </w:rPr>
        <w:t>1</w:t>
      </w:r>
      <w:bookmarkStart w:id="270" w:name="_Toc296346595"/>
      <w:bookmarkStart w:id="271" w:name="_Toc296503094"/>
      <w:bookmarkStart w:id="272" w:name="_Toc337558792"/>
      <w:r>
        <w:rPr>
          <w:bCs w:val="0"/>
          <w:szCs w:val="24"/>
        </w:rPr>
        <w:t>0.5承包人的合理化建议</w:t>
      </w:r>
      <w:bookmarkEnd w:id="269"/>
    </w:p>
    <w:bookmarkEnd w:id="270"/>
    <w:bookmarkEnd w:id="271"/>
    <w:bookmarkEnd w:id="272"/>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承包人提出合理化建议的，应向监理人提交合理化建议说明，说明建议的内容和理由，以及实施该建议对合同价格和工期的影响。</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kern w:val="0"/>
          <w:sz w:val="24"/>
        </w:rPr>
        <w:t>〔</w:t>
      </w:r>
      <w:r>
        <w:rPr>
          <w:rFonts w:ascii="宋体" w:hAnsi="宋体"/>
          <w:kern w:val="0"/>
          <w:sz w:val="24"/>
        </w:rPr>
        <w:t>变更估价</w:t>
      </w:r>
      <w:r>
        <w:rPr>
          <w:rFonts w:hint="eastAsia" w:ascii="宋体" w:hAnsi="宋体"/>
          <w:kern w:val="0"/>
          <w:sz w:val="24"/>
        </w:rPr>
        <w:t>〕</w:t>
      </w:r>
      <w:r>
        <w:rPr>
          <w:rFonts w:ascii="宋体" w:hAnsi="宋体"/>
          <w:kern w:val="0"/>
          <w:sz w:val="24"/>
        </w:rPr>
        <w:t>约定执行。发包人不同意变更的，监理人应书面通知承包人。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合理化建议降低了合同价格或者提高了工程经济效益的，发包人可对承包人给予奖励，奖励的方法和金额在专用合同条款中约定。</w:t>
      </w:r>
    </w:p>
    <w:p>
      <w:pPr>
        <w:pStyle w:val="7"/>
        <w:spacing w:before="120" w:after="120"/>
        <w:ind w:firstLine="420"/>
        <w:rPr>
          <w:bCs w:val="0"/>
          <w:szCs w:val="24"/>
        </w:rPr>
      </w:pPr>
      <w:bookmarkStart w:id="273" w:name="_Toc18683213"/>
      <w:r>
        <w:rPr>
          <w:bCs w:val="0"/>
          <w:szCs w:val="24"/>
        </w:rPr>
        <w:t>1</w:t>
      </w:r>
      <w:bookmarkStart w:id="274" w:name="_Toc337558793"/>
      <w:r>
        <w:rPr>
          <w:bCs w:val="0"/>
          <w:szCs w:val="24"/>
        </w:rPr>
        <w:t>0.6变更引起的工期调整</w:t>
      </w:r>
      <w:bookmarkEnd w:id="273"/>
      <w:bookmarkEnd w:id="274"/>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因变更引起工期变化的，合同当事人均可要求调整合同工期，由合同当事人按照第4.4款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并参考工程所在地的工期定额标准确定增减工期天数。</w:t>
      </w:r>
    </w:p>
    <w:p>
      <w:pPr>
        <w:pStyle w:val="7"/>
        <w:spacing w:before="120" w:after="120"/>
        <w:ind w:firstLine="420"/>
        <w:rPr>
          <w:bCs w:val="0"/>
          <w:szCs w:val="24"/>
        </w:rPr>
      </w:pPr>
      <w:bookmarkStart w:id="275" w:name="_Toc18683214"/>
      <w:r>
        <w:rPr>
          <w:bCs w:val="0"/>
          <w:szCs w:val="24"/>
        </w:rPr>
        <w:t>10.7暂估价</w:t>
      </w:r>
      <w:bookmarkEnd w:id="275"/>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暂估价专业分包工程、</w:t>
      </w:r>
      <w:r>
        <w:rPr>
          <w:rFonts w:hint="eastAsia" w:ascii="宋体" w:hAnsi="宋体"/>
          <w:kern w:val="0"/>
          <w:sz w:val="24"/>
        </w:rPr>
        <w:t>服务、</w:t>
      </w:r>
      <w:r>
        <w:rPr>
          <w:rFonts w:ascii="宋体" w:hAnsi="宋体"/>
          <w:kern w:val="0"/>
          <w:sz w:val="24"/>
        </w:rPr>
        <w:t>材料和工程设备的明细由合同当事人在专用合同条款中约定。</w:t>
      </w:r>
    </w:p>
    <w:p>
      <w:pPr>
        <w:spacing w:line="360" w:lineRule="exact"/>
        <w:ind w:firstLine="480"/>
        <w:jc w:val="left"/>
        <w:rPr>
          <w:rFonts w:ascii="宋体" w:hAnsi="宋体"/>
          <w:kern w:val="0"/>
          <w:sz w:val="24"/>
        </w:rPr>
      </w:pPr>
      <w:r>
        <w:rPr>
          <w:rFonts w:ascii="宋体" w:hAnsi="宋体"/>
          <w:sz w:val="24"/>
        </w:rPr>
        <w:t>10.7.1</w:t>
      </w:r>
      <w:r>
        <w:rPr>
          <w:rFonts w:ascii="宋体" w:hAnsi="宋体"/>
          <w:kern w:val="0"/>
          <w:sz w:val="24"/>
        </w:rPr>
        <w:t xml:space="preserve"> 依法必须招标的暂估价项目</w:t>
      </w:r>
    </w:p>
    <w:p>
      <w:pPr>
        <w:spacing w:line="360" w:lineRule="exact"/>
        <w:ind w:firstLine="480"/>
        <w:jc w:val="left"/>
        <w:rPr>
          <w:rFonts w:ascii="宋体" w:hAnsi="宋体"/>
          <w:kern w:val="0"/>
          <w:sz w:val="24"/>
        </w:rPr>
      </w:pPr>
      <w:r>
        <w:rPr>
          <w:rFonts w:ascii="宋体" w:hAnsi="宋体"/>
          <w:kern w:val="0"/>
          <w:sz w:val="24"/>
        </w:rPr>
        <w:t>对于依法必须招标的暂估价项目，采取以下第1种方式确定</w:t>
      </w:r>
      <w:r>
        <w:rPr>
          <w:rFonts w:hint="eastAsia" w:ascii="宋体" w:hAnsi="宋体"/>
          <w:kern w:val="0"/>
          <w:sz w:val="24"/>
        </w:rPr>
        <w:t>。合同当事人也可以在</w:t>
      </w:r>
      <w:r>
        <w:rPr>
          <w:rFonts w:ascii="宋体" w:hAnsi="宋体"/>
          <w:kern w:val="0"/>
          <w:sz w:val="24"/>
        </w:rPr>
        <w:t>专用合同条款</w:t>
      </w:r>
      <w:r>
        <w:rPr>
          <w:rFonts w:hint="eastAsia" w:ascii="宋体" w:hAnsi="宋体"/>
          <w:kern w:val="0"/>
          <w:sz w:val="24"/>
        </w:rPr>
        <w:t>中选择其他招标方式。</w:t>
      </w:r>
    </w:p>
    <w:p>
      <w:pPr>
        <w:spacing w:line="360" w:lineRule="exact"/>
        <w:ind w:firstLine="480"/>
        <w:jc w:val="left"/>
        <w:rPr>
          <w:rFonts w:ascii="宋体" w:hAnsi="宋体"/>
          <w:kern w:val="0"/>
          <w:sz w:val="24"/>
        </w:rPr>
      </w:pPr>
      <w:r>
        <w:rPr>
          <w:rFonts w:ascii="宋体" w:hAnsi="宋体"/>
          <w:kern w:val="0"/>
          <w:sz w:val="24"/>
        </w:rPr>
        <w:t>第1种方式：对于依法必须招标的暂估价项目，由承包人招标，对该暂估价项目的确认和批准按照以下约定执行：</w:t>
      </w:r>
    </w:p>
    <w:p>
      <w:pPr>
        <w:spacing w:line="360" w:lineRule="exact"/>
        <w:ind w:firstLine="480"/>
        <w:jc w:val="left"/>
        <w:rPr>
          <w:rFonts w:ascii="宋体" w:hAnsi="宋体"/>
          <w:kern w:val="0"/>
          <w:sz w:val="24"/>
        </w:rPr>
      </w:pPr>
      <w:r>
        <w:rPr>
          <w:rFonts w:ascii="宋体" w:hAnsi="宋体"/>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exact"/>
        <w:ind w:firstLine="480"/>
        <w:jc w:val="left"/>
        <w:rPr>
          <w:rFonts w:ascii="宋体" w:hAnsi="宋体"/>
          <w:kern w:val="0"/>
          <w:sz w:val="24"/>
        </w:rPr>
      </w:pPr>
      <w:r>
        <w:rPr>
          <w:rFonts w:ascii="宋体" w:hAnsi="宋体"/>
          <w:kern w:val="0"/>
          <w:sz w:val="24"/>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kern w:val="0"/>
          <w:sz w:val="24"/>
        </w:rPr>
        <w:t>并按照法律规定参加评标</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exact"/>
        <w:ind w:firstLine="480"/>
        <w:jc w:val="left"/>
        <w:rPr>
          <w:rFonts w:ascii="宋体" w:hAnsi="宋体"/>
          <w:kern w:val="0"/>
          <w:sz w:val="24"/>
        </w:rPr>
      </w:pPr>
      <w:r>
        <w:rPr>
          <w:rFonts w:ascii="宋体" w:hAnsi="宋体"/>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exact"/>
        <w:ind w:firstLine="480"/>
        <w:jc w:val="left"/>
        <w:rPr>
          <w:rFonts w:ascii="宋体" w:hAnsi="宋体"/>
          <w:kern w:val="0"/>
          <w:sz w:val="24"/>
        </w:rPr>
      </w:pPr>
      <w:r>
        <w:rPr>
          <w:rFonts w:ascii="宋体" w:hAnsi="宋体"/>
          <w:sz w:val="24"/>
        </w:rPr>
        <w:t>10.7.2</w:t>
      </w:r>
      <w:r>
        <w:rPr>
          <w:rFonts w:ascii="宋体" w:hAnsi="宋体"/>
          <w:kern w:val="0"/>
          <w:sz w:val="24"/>
        </w:rPr>
        <w:t>不属于依法必须招标的暂估价项目</w:t>
      </w:r>
    </w:p>
    <w:p>
      <w:pPr>
        <w:spacing w:line="360" w:lineRule="exact"/>
        <w:ind w:firstLine="480"/>
        <w:jc w:val="left"/>
        <w:rPr>
          <w:rFonts w:ascii="宋体" w:hAnsi="宋体"/>
          <w:kern w:val="0"/>
          <w:sz w:val="24"/>
        </w:rPr>
      </w:pPr>
      <w:r>
        <w:rPr>
          <w:rFonts w:ascii="宋体" w:hAnsi="宋体"/>
          <w:kern w:val="0"/>
          <w:sz w:val="24"/>
        </w:rPr>
        <w:t>除专用合同条款另有约定外，对于不属于依法必须招标的暂估价项目，采取以下第1种方式确定：</w:t>
      </w:r>
    </w:p>
    <w:p>
      <w:pPr>
        <w:spacing w:line="360" w:lineRule="exact"/>
        <w:ind w:firstLine="480"/>
        <w:jc w:val="left"/>
        <w:rPr>
          <w:rFonts w:ascii="宋体" w:hAnsi="宋体"/>
          <w:kern w:val="0"/>
          <w:sz w:val="24"/>
        </w:rPr>
      </w:pPr>
      <w:r>
        <w:rPr>
          <w:rFonts w:ascii="宋体" w:hAnsi="宋体"/>
          <w:kern w:val="0"/>
          <w:sz w:val="24"/>
        </w:rPr>
        <w:t>第1种方式：对于不属于依法必须招标的暂估价项目，按本项约定确认和批准：</w:t>
      </w:r>
    </w:p>
    <w:p>
      <w:pPr>
        <w:spacing w:line="360" w:lineRule="exact"/>
        <w:ind w:firstLine="480"/>
        <w:jc w:val="left"/>
        <w:rPr>
          <w:rFonts w:ascii="宋体" w:hAnsi="宋体"/>
          <w:kern w:val="0"/>
          <w:sz w:val="24"/>
        </w:rPr>
      </w:pPr>
      <w:r>
        <w:rPr>
          <w:rFonts w:ascii="宋体" w:hAnsi="宋体"/>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exact"/>
        <w:ind w:firstLine="480"/>
        <w:jc w:val="left"/>
        <w:rPr>
          <w:rFonts w:ascii="宋体" w:hAnsi="宋体"/>
          <w:kern w:val="0"/>
          <w:sz w:val="24"/>
        </w:rPr>
      </w:pPr>
      <w:r>
        <w:rPr>
          <w:rFonts w:ascii="宋体" w:hAnsi="宋体"/>
          <w:kern w:val="0"/>
          <w:sz w:val="24"/>
        </w:rPr>
        <w:t>（2）发包人认为承包人确定的供应商、分包人无法满足工程质量或合同要求的，发包人可以要求承包人重新确定暂估价项目的供应商、分包人;</w:t>
      </w:r>
    </w:p>
    <w:p>
      <w:pPr>
        <w:spacing w:line="360" w:lineRule="exact"/>
        <w:ind w:firstLine="480"/>
        <w:jc w:val="left"/>
        <w:rPr>
          <w:rFonts w:ascii="宋体" w:hAnsi="宋体"/>
          <w:kern w:val="0"/>
          <w:sz w:val="24"/>
        </w:rPr>
      </w:pPr>
      <w:r>
        <w:rPr>
          <w:rFonts w:ascii="宋体" w:hAnsi="宋体"/>
          <w:kern w:val="0"/>
          <w:sz w:val="24"/>
        </w:rPr>
        <w:t>（3）承包人应当在签订暂估价合同后7天内，将暂估价合同副本报送发包人留存。</w:t>
      </w:r>
    </w:p>
    <w:p>
      <w:pPr>
        <w:spacing w:line="360" w:lineRule="exact"/>
        <w:ind w:firstLine="480"/>
        <w:jc w:val="left"/>
        <w:rPr>
          <w:rFonts w:ascii="宋体" w:hAnsi="宋体"/>
          <w:kern w:val="0"/>
          <w:sz w:val="24"/>
        </w:rPr>
      </w:pPr>
      <w:r>
        <w:rPr>
          <w:rFonts w:ascii="宋体" w:hAnsi="宋体"/>
          <w:kern w:val="0"/>
          <w:sz w:val="24"/>
        </w:rPr>
        <w:t>第2种方式：承包人按照第10.7.1项</w:t>
      </w:r>
      <w:r>
        <w:rPr>
          <w:rFonts w:hint="eastAsia" w:ascii="宋体" w:hAnsi="宋体"/>
          <w:kern w:val="0"/>
          <w:sz w:val="24"/>
        </w:rPr>
        <w:t>〔</w:t>
      </w:r>
      <w:r>
        <w:rPr>
          <w:rFonts w:ascii="宋体" w:hAnsi="宋体"/>
          <w:kern w:val="0"/>
          <w:sz w:val="24"/>
        </w:rPr>
        <w:t>依法必须招标的暂估价项目</w:t>
      </w:r>
      <w:r>
        <w:rPr>
          <w:rFonts w:hint="eastAsia" w:ascii="宋体" w:hAnsi="宋体"/>
          <w:kern w:val="0"/>
          <w:sz w:val="24"/>
        </w:rPr>
        <w:t>〕</w:t>
      </w:r>
      <w:r>
        <w:rPr>
          <w:rFonts w:ascii="宋体" w:hAnsi="宋体"/>
          <w:kern w:val="0"/>
          <w:sz w:val="24"/>
        </w:rPr>
        <w:t>约定的第1种方式确定暂估价项目。</w:t>
      </w:r>
    </w:p>
    <w:p>
      <w:pPr>
        <w:spacing w:line="360" w:lineRule="exact"/>
        <w:ind w:firstLine="480"/>
        <w:jc w:val="left"/>
        <w:rPr>
          <w:rFonts w:ascii="宋体" w:hAnsi="宋体"/>
          <w:kern w:val="0"/>
          <w:sz w:val="24"/>
        </w:rPr>
      </w:pPr>
      <w:r>
        <w:rPr>
          <w:rFonts w:ascii="宋体" w:hAnsi="宋体"/>
          <w:sz w:val="24"/>
        </w:rPr>
        <w:t>第3种方式：</w:t>
      </w:r>
      <w:r>
        <w:rPr>
          <w:rFonts w:ascii="宋体" w:hAnsi="宋体"/>
          <w:kern w:val="0"/>
          <w:sz w:val="24"/>
        </w:rPr>
        <w:t>承包人直接实施的暂估价项目</w:t>
      </w:r>
    </w:p>
    <w:p>
      <w:pPr>
        <w:spacing w:line="360" w:lineRule="exact"/>
        <w:ind w:firstLine="480"/>
        <w:jc w:val="left"/>
        <w:rPr>
          <w:rFonts w:ascii="宋体" w:hAnsi="宋体"/>
          <w:kern w:val="0"/>
          <w:sz w:val="24"/>
        </w:rPr>
      </w:pPr>
      <w:r>
        <w:rPr>
          <w:rFonts w:ascii="宋体" w:hAnsi="宋体"/>
          <w:kern w:val="0"/>
          <w:sz w:val="24"/>
        </w:rPr>
        <w:t>承包人具备实施暂估价项目的资格和条件的，经发包人和承包人协商一致后，可由承包人自行实施暂估价项目，合同当事人可以在专用合同条款约定具体事项。</w:t>
      </w:r>
    </w:p>
    <w:p>
      <w:pPr>
        <w:spacing w:line="360" w:lineRule="exact"/>
        <w:ind w:firstLine="480"/>
        <w:jc w:val="left"/>
        <w:rPr>
          <w:rFonts w:ascii="宋体" w:hAnsi="宋体"/>
          <w:kern w:val="0"/>
          <w:sz w:val="24"/>
        </w:rPr>
      </w:pPr>
      <w:r>
        <w:rPr>
          <w:rFonts w:ascii="宋体" w:hAnsi="宋体"/>
          <w:kern w:val="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120" w:after="120"/>
        <w:ind w:firstLine="420"/>
        <w:rPr>
          <w:bCs w:val="0"/>
          <w:szCs w:val="24"/>
        </w:rPr>
      </w:pPr>
      <w:bookmarkStart w:id="276" w:name="_Toc18683215"/>
      <w:r>
        <w:rPr>
          <w:bCs w:val="0"/>
          <w:szCs w:val="24"/>
        </w:rPr>
        <w:t>1</w:t>
      </w:r>
      <w:bookmarkStart w:id="277" w:name="_Toc337558794"/>
      <w:bookmarkStart w:id="278" w:name="_Toc322522561"/>
      <w:bookmarkStart w:id="279" w:name="_Toc296346591"/>
      <w:bookmarkStart w:id="280" w:name="_Toc296503090"/>
      <w:r>
        <w:rPr>
          <w:bCs w:val="0"/>
          <w:szCs w:val="24"/>
        </w:rPr>
        <w:t>0.8暂列金额</w:t>
      </w:r>
      <w:bookmarkEnd w:id="276"/>
    </w:p>
    <w:bookmarkEnd w:id="277"/>
    <w:p>
      <w:pPr>
        <w:autoSpaceDE w:val="0"/>
        <w:autoSpaceDN w:val="0"/>
        <w:adjustRightInd w:val="0"/>
        <w:spacing w:line="360" w:lineRule="exact"/>
        <w:ind w:firstLine="480"/>
        <w:jc w:val="left"/>
        <w:rPr>
          <w:rFonts w:ascii="宋体" w:hAnsi="宋体"/>
          <w:kern w:val="0"/>
          <w:sz w:val="24"/>
        </w:rPr>
      </w:pPr>
      <w:r>
        <w:rPr>
          <w:rFonts w:ascii="宋体" w:hAnsi="宋体"/>
          <w:kern w:val="0"/>
          <w:sz w:val="24"/>
        </w:rPr>
        <w:t>暂列金额应按照发包人的要求使用，发包人的要求应通过监理人发出。</w:t>
      </w:r>
      <w:r>
        <w:rPr>
          <w:rFonts w:hint="eastAsia" w:ascii="宋体" w:hAnsi="宋体"/>
          <w:kern w:val="0"/>
          <w:sz w:val="24"/>
        </w:rPr>
        <w:t>合同当事人可以在专用合同条款中协商确定有关事项。</w:t>
      </w:r>
    </w:p>
    <w:bookmarkEnd w:id="278"/>
    <w:bookmarkEnd w:id="279"/>
    <w:bookmarkEnd w:id="280"/>
    <w:p>
      <w:pPr>
        <w:pStyle w:val="7"/>
        <w:spacing w:before="120" w:after="120"/>
        <w:ind w:firstLine="420"/>
        <w:rPr>
          <w:bCs w:val="0"/>
          <w:szCs w:val="24"/>
        </w:rPr>
      </w:pPr>
      <w:bookmarkStart w:id="281" w:name="_Toc18683216"/>
      <w:r>
        <w:rPr>
          <w:bCs w:val="0"/>
          <w:szCs w:val="24"/>
        </w:rPr>
        <w:t>1</w:t>
      </w:r>
      <w:bookmarkStart w:id="282" w:name="_Toc337558796"/>
      <w:bookmarkStart w:id="283" w:name="_Toc296503091"/>
      <w:bookmarkStart w:id="284" w:name="_Toc296346592"/>
      <w:r>
        <w:rPr>
          <w:bCs w:val="0"/>
          <w:szCs w:val="24"/>
        </w:rPr>
        <w:t>0.9计日工</w:t>
      </w:r>
      <w:bookmarkEnd w:id="281"/>
      <w:bookmarkEnd w:id="282"/>
      <w:bookmarkEnd w:id="283"/>
      <w:bookmarkEnd w:id="284"/>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需要采用计日工方式的，经发包人同意后</w:t>
      </w:r>
      <w:r>
        <w:rPr>
          <w:rFonts w:ascii="宋体" w:hAnsi="宋体"/>
          <w:kern w:val="0"/>
          <w:sz w:val="24"/>
        </w:rPr>
        <w:t>，由监理人通知承包人以计日工计价方式实施</w:t>
      </w:r>
      <w:r>
        <w:rPr>
          <w:rFonts w:hint="eastAsia" w:ascii="宋体" w:hAnsi="宋体"/>
          <w:kern w:val="0"/>
          <w:sz w:val="24"/>
        </w:rPr>
        <w:t>相应</w:t>
      </w:r>
      <w:r>
        <w:rPr>
          <w:rFonts w:ascii="宋体" w:hAnsi="宋体"/>
          <w:kern w:val="0"/>
          <w:sz w:val="24"/>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确定</w:t>
      </w:r>
      <w:r>
        <w:rPr>
          <w:rFonts w:hint="eastAsia" w:ascii="宋体" w:hAnsi="宋体"/>
          <w:kern w:val="0"/>
          <w:sz w:val="24"/>
        </w:rPr>
        <w:t>计日工</w:t>
      </w:r>
      <w:r>
        <w:rPr>
          <w:rFonts w:ascii="宋体" w:hAnsi="宋体"/>
          <w:kern w:val="0"/>
          <w:sz w:val="24"/>
        </w:rPr>
        <w:t>的单价。</w:t>
      </w:r>
    </w:p>
    <w:p>
      <w:pPr>
        <w:spacing w:line="360" w:lineRule="exact"/>
        <w:ind w:firstLine="480"/>
        <w:jc w:val="left"/>
        <w:rPr>
          <w:rFonts w:ascii="宋体" w:hAnsi="宋体"/>
          <w:kern w:val="0"/>
          <w:sz w:val="24"/>
        </w:rPr>
      </w:pPr>
      <w:r>
        <w:rPr>
          <w:rFonts w:ascii="宋体" w:hAnsi="宋体"/>
          <w:kern w:val="0"/>
          <w:sz w:val="24"/>
        </w:rPr>
        <w:t>采用计日工计价的任何一项工作，承包人应在该项工作实施过程中，每天提交以下报表和有关凭证报送监理人审查：</w:t>
      </w:r>
    </w:p>
    <w:p>
      <w:pPr>
        <w:spacing w:line="360" w:lineRule="exact"/>
        <w:ind w:firstLine="360" w:firstLineChars="150"/>
        <w:jc w:val="left"/>
        <w:rPr>
          <w:rFonts w:ascii="宋体" w:hAnsi="宋体"/>
          <w:kern w:val="0"/>
          <w:sz w:val="24"/>
        </w:rPr>
      </w:pPr>
      <w:r>
        <w:rPr>
          <w:rFonts w:ascii="宋体" w:hAnsi="宋体"/>
          <w:kern w:val="0"/>
          <w:sz w:val="24"/>
        </w:rPr>
        <w:t>（1）工作名称、内容和数量；</w:t>
      </w:r>
    </w:p>
    <w:p>
      <w:pPr>
        <w:spacing w:line="360" w:lineRule="exact"/>
        <w:ind w:firstLine="360" w:firstLineChars="150"/>
        <w:jc w:val="left"/>
        <w:rPr>
          <w:rFonts w:ascii="宋体" w:hAnsi="宋体"/>
          <w:kern w:val="0"/>
          <w:sz w:val="24"/>
        </w:rPr>
      </w:pPr>
      <w:r>
        <w:rPr>
          <w:rFonts w:ascii="宋体" w:hAnsi="宋体"/>
          <w:kern w:val="0"/>
          <w:sz w:val="24"/>
        </w:rPr>
        <w:t>（2）投入该工作的所有人员的姓名、专业、工种、级别和耗用工时；</w:t>
      </w:r>
    </w:p>
    <w:p>
      <w:pPr>
        <w:spacing w:line="360" w:lineRule="exact"/>
        <w:ind w:firstLine="360" w:firstLineChars="150"/>
        <w:jc w:val="left"/>
        <w:rPr>
          <w:rFonts w:ascii="宋体" w:hAnsi="宋体"/>
          <w:kern w:val="0"/>
          <w:sz w:val="24"/>
        </w:rPr>
      </w:pPr>
      <w:r>
        <w:rPr>
          <w:rFonts w:ascii="宋体" w:hAnsi="宋体"/>
          <w:kern w:val="0"/>
          <w:sz w:val="24"/>
        </w:rPr>
        <w:t>（3）投入该工作的材料类别和数量；</w:t>
      </w:r>
    </w:p>
    <w:p>
      <w:pPr>
        <w:spacing w:line="360" w:lineRule="exact"/>
        <w:ind w:firstLine="360" w:firstLineChars="150"/>
        <w:jc w:val="left"/>
        <w:rPr>
          <w:rFonts w:ascii="宋体" w:hAnsi="宋体"/>
          <w:kern w:val="0"/>
          <w:sz w:val="24"/>
        </w:rPr>
      </w:pPr>
      <w:r>
        <w:rPr>
          <w:rFonts w:ascii="宋体" w:hAnsi="宋体"/>
          <w:kern w:val="0"/>
          <w:sz w:val="24"/>
        </w:rPr>
        <w:t>（4）投入该工作的施工设备型号、台数和耗用台时；</w:t>
      </w:r>
    </w:p>
    <w:p>
      <w:pPr>
        <w:spacing w:line="360" w:lineRule="exact"/>
        <w:ind w:firstLine="360" w:firstLineChars="150"/>
        <w:jc w:val="left"/>
        <w:rPr>
          <w:rFonts w:ascii="宋体" w:hAnsi="宋体"/>
          <w:kern w:val="0"/>
          <w:sz w:val="24"/>
        </w:rPr>
      </w:pPr>
      <w:r>
        <w:rPr>
          <w:rFonts w:ascii="宋体" w:hAnsi="宋体"/>
          <w:kern w:val="0"/>
          <w:sz w:val="24"/>
        </w:rPr>
        <w:t>（5）其他有关资料和凭证。</w:t>
      </w:r>
    </w:p>
    <w:p>
      <w:pPr>
        <w:spacing w:line="360" w:lineRule="exact"/>
        <w:ind w:firstLine="360" w:firstLineChars="150"/>
        <w:jc w:val="left"/>
        <w:rPr>
          <w:rFonts w:ascii="宋体" w:hAnsi="宋体"/>
          <w:kern w:val="0"/>
          <w:sz w:val="24"/>
        </w:rPr>
      </w:pPr>
      <w:r>
        <w:rPr>
          <w:rFonts w:ascii="宋体" w:hAnsi="宋体"/>
          <w:kern w:val="0"/>
          <w:sz w:val="24"/>
        </w:rPr>
        <w:t xml:space="preserve"> 计日工由承包人汇总后，列入最近一期进度付款申请单，由监理人审查并经发包人批准后列入进度付款。</w:t>
      </w:r>
    </w:p>
    <w:p>
      <w:pPr>
        <w:pStyle w:val="6"/>
        <w:ind w:left="103" w:leftChars="0" w:firstLineChars="0"/>
      </w:pPr>
      <w:bookmarkStart w:id="285" w:name="_Toc18683217"/>
      <w:r>
        <w:t>11. 价格调整</w:t>
      </w:r>
      <w:bookmarkEnd w:id="285"/>
    </w:p>
    <w:p>
      <w:pPr>
        <w:pStyle w:val="7"/>
        <w:spacing w:before="120" w:after="120"/>
        <w:ind w:firstLine="420"/>
        <w:rPr>
          <w:bCs w:val="0"/>
          <w:szCs w:val="24"/>
        </w:rPr>
      </w:pPr>
      <w:bookmarkStart w:id="286" w:name="_Toc18683218"/>
      <w:bookmarkStart w:id="287" w:name="_Toc296503092"/>
      <w:bookmarkStart w:id="288" w:name="_Toc337558797"/>
      <w:bookmarkStart w:id="289" w:name="_Toc296346593"/>
      <w:r>
        <w:rPr>
          <w:bCs w:val="0"/>
          <w:szCs w:val="24"/>
        </w:rPr>
        <w:t>11.1市场价格波动引起的调整</w:t>
      </w:r>
      <w:bookmarkEnd w:id="286"/>
    </w:p>
    <w:bookmarkEnd w:id="287"/>
    <w:bookmarkEnd w:id="288"/>
    <w:bookmarkEnd w:id="289"/>
    <w:p>
      <w:pPr>
        <w:spacing w:line="360" w:lineRule="exact"/>
        <w:ind w:firstLine="480"/>
        <w:jc w:val="left"/>
        <w:rPr>
          <w:rFonts w:ascii="宋体" w:hAnsi="宋体"/>
          <w:kern w:val="0"/>
          <w:sz w:val="24"/>
        </w:rPr>
      </w:pPr>
      <w:r>
        <w:rPr>
          <w:rFonts w:ascii="宋体" w:hAnsi="宋体"/>
          <w:kern w:val="0"/>
          <w:sz w:val="24"/>
        </w:rPr>
        <w:t>除专用合同条款另有约定外，市场价格波动超过合同当事人约定的范围，合同价格应当调整。合同当事人可以在专用合同条款中约定选择以下一种方式对合同价格进行调整：</w:t>
      </w:r>
    </w:p>
    <w:p>
      <w:pPr>
        <w:spacing w:line="360" w:lineRule="exact"/>
        <w:ind w:firstLine="480"/>
        <w:rPr>
          <w:rFonts w:ascii="宋体" w:hAnsi="宋体"/>
          <w:sz w:val="24"/>
        </w:rPr>
      </w:pPr>
      <w:r>
        <w:rPr>
          <w:rFonts w:ascii="宋体" w:hAnsi="宋体"/>
          <w:sz w:val="24"/>
        </w:rPr>
        <w:t>第1种方式：采用价格指数</w:t>
      </w:r>
      <w:r>
        <w:rPr>
          <w:rFonts w:hint="eastAsia" w:ascii="宋体" w:hAnsi="宋体"/>
          <w:sz w:val="24"/>
        </w:rPr>
        <w:t>进行价格</w:t>
      </w:r>
      <w:r>
        <w:rPr>
          <w:rFonts w:ascii="宋体" w:hAnsi="宋体"/>
          <w:sz w:val="24"/>
        </w:rPr>
        <w:t>调整。</w:t>
      </w:r>
    </w:p>
    <w:p>
      <w:pPr>
        <w:tabs>
          <w:tab w:val="left" w:pos="0"/>
          <w:tab w:val="left" w:pos="360"/>
          <w:tab w:val="left" w:pos="540"/>
        </w:tabs>
        <w:spacing w:line="360" w:lineRule="exact"/>
        <w:ind w:firstLine="480"/>
        <w:rPr>
          <w:rFonts w:ascii="宋体" w:hAnsi="宋体"/>
          <w:sz w:val="24"/>
        </w:rPr>
      </w:pPr>
      <w:r>
        <w:rPr>
          <w:rFonts w:ascii="宋体" w:hAnsi="宋体"/>
          <w:sz w:val="24"/>
        </w:rPr>
        <w:t>（1）价格调整公式</w:t>
      </w:r>
    </w:p>
    <w:p>
      <w:pPr>
        <w:tabs>
          <w:tab w:val="left" w:pos="0"/>
          <w:tab w:val="left" w:pos="360"/>
          <w:tab w:val="left" w:pos="540"/>
        </w:tabs>
        <w:spacing w:line="360" w:lineRule="exact"/>
        <w:ind w:firstLine="480"/>
        <w:rPr>
          <w:rFonts w:ascii="宋体" w:hAnsi="宋体"/>
          <w:sz w:val="24"/>
        </w:rPr>
      </w:pPr>
      <w:r>
        <w:rPr>
          <w:rFonts w:ascii="宋体" w:hAnsi="宋体"/>
          <w:sz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exact"/>
        <w:ind w:firstLine="480"/>
        <w:rPr>
          <w:rFonts w:ascii="宋体" w:hAnsi="宋体"/>
          <w:sz w:val="24"/>
        </w:rPr>
      </w:pPr>
      <w:r>
        <w:rPr>
          <w:rFonts w:hint="eastAsia" w:ascii="宋体" w:hAnsi="宋体"/>
          <w:position w:val="-30"/>
          <w:sz w:val="24"/>
        </w:rPr>
        <w:object>
          <v:shape id="_x0000_i1025" o:spt="75" type="#_x0000_t75" style="height:43.5pt;width:360pt;" o:ole="t" filled="f" o:preferrelative="t" stroked="f" coordsize="21600,21600">
            <v:path/>
            <v:fill on="f" focussize="0,0"/>
            <v:stroke on="f" joinstyle="miter"/>
            <v:imagedata r:id="rId22" o:title=""/>
            <o:lock v:ext="edit" aspectratio="t"/>
            <w10:wrap type="none"/>
            <w10:anchorlock/>
          </v:shape>
          <o:OLEObject Type="Embed" ProgID="Equation.3" ShapeID="_x0000_i1025" DrawAspect="Content" ObjectID="_1468075725" r:id="rId21">
            <o:LockedField>false</o:LockedField>
          </o:OLEObject>
        </w:object>
      </w:r>
    </w:p>
    <w:p>
      <w:pPr>
        <w:tabs>
          <w:tab w:val="left" w:pos="0"/>
          <w:tab w:val="left" w:pos="360"/>
          <w:tab w:val="left" w:pos="540"/>
        </w:tabs>
        <w:spacing w:line="360" w:lineRule="exact"/>
        <w:ind w:firstLine="480"/>
        <w:rPr>
          <w:rFonts w:ascii="宋体" w:hAnsi="宋体"/>
          <w:sz w:val="24"/>
        </w:rPr>
      </w:pPr>
      <w:r>
        <w:rPr>
          <w:rFonts w:ascii="宋体" w:hAnsi="宋体"/>
          <w:sz w:val="24"/>
        </w:rPr>
        <w:t>公式中：ΔP——需调整的价格差额；</w:t>
      </w:r>
    </w:p>
    <w:p>
      <w:pPr>
        <w:tabs>
          <w:tab w:val="left" w:pos="0"/>
          <w:tab w:val="left" w:pos="360"/>
          <w:tab w:val="left" w:pos="540"/>
        </w:tabs>
        <w:spacing w:line="360" w:lineRule="exact"/>
        <w:ind w:firstLine="1440" w:firstLineChars="600"/>
        <w:rPr>
          <w:rFonts w:ascii="宋体" w:hAnsi="宋体"/>
          <w:sz w:val="24"/>
        </w:rPr>
      </w:pPr>
      <w:r>
        <w:rPr>
          <w:rFonts w:ascii="宋体" w:hAnsi="宋体"/>
          <w:position w:val="-6"/>
          <w:sz w:val="24"/>
        </w:rPr>
        <w:object>
          <v:shape id="_x0000_i1026" o:spt="75" type="#_x0000_t75" style="height:18pt;width:18pt;" o:ole="t" filled="f" o:preferrelative="t" stroked="f" coordsize="21600,21600">
            <v:path/>
            <v:fill on="f" focussize="0,0"/>
            <v:stroke on="f" joinstyle="miter"/>
            <v:imagedata r:id="rId24" o:title=""/>
            <o:lock v:ext="edit" aspectratio="t"/>
            <w10:wrap type="none"/>
            <w10:anchorlock/>
          </v:shape>
          <o:OLEObject Type="Embed" ProgID="Equation.3" ShapeID="_x0000_i1026" DrawAspect="Content" ObjectID="_1468075726" r:id="rId23">
            <o:LockedField>false</o:LockedField>
          </o:OLEObject>
        </w:object>
      </w:r>
      <w:r>
        <w:rPr>
          <w:rFonts w:ascii="宋体" w:hAnsi="宋体"/>
          <w:sz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exact"/>
        <w:ind w:firstLine="480"/>
        <w:rPr>
          <w:rFonts w:ascii="宋体" w:hAnsi="宋体"/>
          <w:sz w:val="24"/>
        </w:rPr>
      </w:pPr>
      <w:r>
        <w:rPr>
          <w:rFonts w:ascii="宋体" w:hAnsi="宋体"/>
          <w:sz w:val="24"/>
        </w:rPr>
        <w:t>A——定值权重（即不调部分的权重）；</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7" o:spt="75" type="#_x0000_t75" style="height:21pt;width:100.5pt;" o:ole="t" filled="f" o:preferrelative="t" stroked="f" coordsize="21600,21600">
            <v:path/>
            <v:fill on="f" focussize="0,0"/>
            <v:stroke on="f" joinstyle="miter"/>
            <v:imagedata r:id="rId26" o:title=""/>
            <o:lock v:ext="edit" aspectratio="t"/>
            <w10:wrap type="none"/>
            <w10:anchorlock/>
          </v:shape>
          <o:OLEObject Type="Embed" ProgID="Equation.3" ShapeID="_x0000_i1027" DrawAspect="Content" ObjectID="_1468075727" r:id="rId25">
            <o:LockedField>false</o:LockedField>
          </o:OLEObject>
        </w:object>
      </w:r>
      <w:r>
        <w:rPr>
          <w:rFonts w:ascii="宋体" w:hAnsi="宋体"/>
          <w:sz w:val="24"/>
        </w:rPr>
        <w:t>——各可调因子的变值权重（即可调部分的权重），为各可调因子在签约合同价中所占的比例；</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8" o:spt="75" type="#_x0000_t75" style="height:20.25pt;width:102pt;" o:ole="t" filled="f" o:preferrelative="t" stroked="f" coordsize="21600,21600">
            <v:path/>
            <v:fill on="f" focussize="0,0"/>
            <v:stroke on="f" joinstyle="miter"/>
            <v:imagedata r:id="rId28" o:title=""/>
            <o:lock v:ext="edit" aspectratio="t"/>
            <w10:wrap type="none"/>
            <w10:anchorlock/>
          </v:shape>
          <o:OLEObject Type="Embed" ProgID="Equation.3" ShapeID="_x0000_i1028" DrawAspect="Content" ObjectID="_1468075728" r:id="rId27">
            <o:LockedField>false</o:LockedField>
          </o:OLEObject>
        </w:object>
      </w:r>
      <w:r>
        <w:rPr>
          <w:rFonts w:ascii="宋体" w:hAnsi="宋体"/>
          <w:sz w:val="24"/>
        </w:rPr>
        <w:t>——各可调因子的现行价格指数，指约定的付款证书相关周期最后一天的前42天的各可调因子的价格指数；</w:t>
      </w:r>
    </w:p>
    <w:p>
      <w:pPr>
        <w:tabs>
          <w:tab w:val="left" w:pos="0"/>
          <w:tab w:val="left" w:pos="360"/>
          <w:tab w:val="left" w:pos="540"/>
        </w:tabs>
        <w:spacing w:line="360" w:lineRule="exact"/>
        <w:ind w:firstLine="480"/>
        <w:rPr>
          <w:rFonts w:ascii="宋体" w:hAnsi="宋体"/>
          <w:sz w:val="24"/>
        </w:rPr>
      </w:pPr>
      <w:r>
        <w:rPr>
          <w:rFonts w:ascii="宋体" w:hAnsi="宋体"/>
          <w:position w:val="-10"/>
          <w:sz w:val="24"/>
        </w:rPr>
        <w:object>
          <v:shape id="_x0000_i1029" o:spt="75" type="#_x0000_t75" style="height:19.5pt;width:108pt;" o:ole="t" filled="f" o:preferrelative="t" stroked="f" coordsize="21600,21600">
            <v:path/>
            <v:fill on="f" focussize="0,0"/>
            <v:stroke on="f" joinstyle="miter"/>
            <v:imagedata r:id="rId30" o:title=""/>
            <o:lock v:ext="edit" aspectratio="t"/>
            <w10:wrap type="none"/>
            <w10:anchorlock/>
          </v:shape>
          <o:OLEObject Type="Embed" ProgID="Equation.3" ShapeID="_x0000_i1029" DrawAspect="Content" ObjectID="_1468075729" r:id="rId29">
            <o:LockedField>false</o:LockedField>
          </o:OLEObject>
        </w:object>
      </w:r>
      <w:r>
        <w:rPr>
          <w:rFonts w:ascii="宋体" w:hAnsi="宋体"/>
          <w:sz w:val="24"/>
        </w:rPr>
        <w:t>——各可调因子的基本价格指数，指基准日期的各可调因子的价格指数。</w:t>
      </w:r>
    </w:p>
    <w:p>
      <w:pPr>
        <w:tabs>
          <w:tab w:val="left" w:pos="0"/>
          <w:tab w:val="left" w:pos="360"/>
          <w:tab w:val="left" w:pos="540"/>
        </w:tabs>
        <w:spacing w:line="360" w:lineRule="exact"/>
        <w:ind w:firstLine="480"/>
        <w:rPr>
          <w:rFonts w:ascii="宋体" w:hAnsi="宋体"/>
          <w:sz w:val="24"/>
        </w:rPr>
      </w:pPr>
      <w:r>
        <w:rPr>
          <w:rFonts w:ascii="宋体" w:hAnsi="宋体"/>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exact"/>
        <w:ind w:firstLine="480"/>
        <w:rPr>
          <w:rFonts w:ascii="宋体" w:hAnsi="宋体"/>
          <w:sz w:val="24"/>
        </w:rPr>
      </w:pPr>
      <w:r>
        <w:rPr>
          <w:rFonts w:ascii="宋体" w:hAnsi="宋体"/>
          <w:sz w:val="24"/>
        </w:rPr>
        <w:t>（2）暂时确定调整差额</w:t>
      </w:r>
    </w:p>
    <w:p>
      <w:pPr>
        <w:tabs>
          <w:tab w:val="left" w:pos="0"/>
          <w:tab w:val="left" w:pos="360"/>
          <w:tab w:val="left" w:pos="540"/>
        </w:tabs>
        <w:spacing w:line="360" w:lineRule="exact"/>
        <w:ind w:firstLine="480"/>
        <w:rPr>
          <w:rFonts w:ascii="宋体" w:hAnsi="宋体"/>
          <w:sz w:val="24"/>
        </w:rPr>
      </w:pPr>
      <w:r>
        <w:rPr>
          <w:rFonts w:ascii="宋体" w:hAnsi="宋体"/>
          <w:sz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exact"/>
        <w:ind w:firstLine="480"/>
        <w:rPr>
          <w:rFonts w:ascii="宋体" w:hAnsi="宋体"/>
          <w:sz w:val="24"/>
        </w:rPr>
      </w:pPr>
      <w:r>
        <w:rPr>
          <w:rFonts w:ascii="宋体" w:hAnsi="宋体"/>
          <w:sz w:val="24"/>
        </w:rPr>
        <w:t>（3）权重的调整</w:t>
      </w:r>
    </w:p>
    <w:p>
      <w:pPr>
        <w:tabs>
          <w:tab w:val="left" w:pos="0"/>
          <w:tab w:val="left" w:pos="360"/>
          <w:tab w:val="left" w:pos="540"/>
        </w:tabs>
        <w:spacing w:line="360" w:lineRule="exact"/>
        <w:ind w:firstLine="480"/>
        <w:rPr>
          <w:rFonts w:ascii="宋体" w:hAnsi="宋体"/>
          <w:sz w:val="24"/>
        </w:rPr>
      </w:pPr>
      <w:r>
        <w:rPr>
          <w:rFonts w:ascii="宋体" w:hAnsi="宋体"/>
          <w:sz w:val="24"/>
        </w:rPr>
        <w:t>因变更导致合同约定的权重不合理时，按照第4.4款</w:t>
      </w:r>
      <w:r>
        <w:rPr>
          <w:rFonts w:hint="eastAsia" w:ascii="宋体" w:hAnsi="宋体"/>
          <w:sz w:val="24"/>
        </w:rPr>
        <w:t>〔</w:t>
      </w:r>
      <w:r>
        <w:rPr>
          <w:rFonts w:ascii="宋体" w:hAnsi="宋体"/>
          <w:sz w:val="24"/>
        </w:rPr>
        <w:t>商定或确定</w:t>
      </w:r>
      <w:r>
        <w:rPr>
          <w:rFonts w:hint="eastAsia" w:ascii="宋体" w:hAnsi="宋体"/>
          <w:sz w:val="24"/>
        </w:rPr>
        <w:t>〕</w:t>
      </w:r>
      <w:r>
        <w:rPr>
          <w:rFonts w:ascii="宋体" w:hAnsi="宋体"/>
          <w:sz w:val="24"/>
        </w:rPr>
        <w:t>执行。</w:t>
      </w:r>
    </w:p>
    <w:p>
      <w:pPr>
        <w:tabs>
          <w:tab w:val="left" w:pos="0"/>
          <w:tab w:val="left" w:pos="360"/>
          <w:tab w:val="left" w:pos="540"/>
        </w:tabs>
        <w:spacing w:line="360" w:lineRule="exact"/>
        <w:ind w:firstLine="480"/>
        <w:rPr>
          <w:rFonts w:ascii="宋体" w:hAnsi="宋体"/>
          <w:sz w:val="24"/>
        </w:rPr>
      </w:pPr>
      <w:r>
        <w:rPr>
          <w:rFonts w:ascii="宋体" w:hAnsi="宋体"/>
          <w:sz w:val="24"/>
        </w:rPr>
        <w:t>（4）因承包人原因工期延误后的价格调整</w:t>
      </w:r>
    </w:p>
    <w:p>
      <w:pPr>
        <w:tabs>
          <w:tab w:val="left" w:pos="0"/>
          <w:tab w:val="left" w:pos="360"/>
          <w:tab w:val="left" w:pos="540"/>
        </w:tabs>
        <w:spacing w:line="360" w:lineRule="exact"/>
        <w:ind w:firstLine="480"/>
        <w:rPr>
          <w:rFonts w:ascii="宋体" w:hAnsi="宋体"/>
          <w:sz w:val="24"/>
        </w:rPr>
      </w:pPr>
      <w:r>
        <w:rPr>
          <w:rFonts w:ascii="宋体" w:hAnsi="宋体"/>
          <w:sz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exact"/>
        <w:ind w:firstLine="480"/>
        <w:rPr>
          <w:rFonts w:ascii="宋体" w:hAnsi="宋体"/>
          <w:sz w:val="24"/>
        </w:rPr>
      </w:pPr>
      <w:r>
        <w:rPr>
          <w:rFonts w:ascii="宋体" w:hAnsi="宋体"/>
          <w:sz w:val="24"/>
        </w:rPr>
        <w:t>第2种方式：采用造价信息</w:t>
      </w:r>
      <w:r>
        <w:rPr>
          <w:rFonts w:hint="eastAsia" w:ascii="宋体" w:hAnsi="宋体"/>
          <w:sz w:val="24"/>
        </w:rPr>
        <w:t>进行价格</w:t>
      </w:r>
      <w:r>
        <w:rPr>
          <w:rFonts w:ascii="宋体" w:hAnsi="宋体"/>
          <w:sz w:val="24"/>
        </w:rPr>
        <w:t>调整。</w:t>
      </w:r>
    </w:p>
    <w:p>
      <w:pPr>
        <w:spacing w:line="360" w:lineRule="exact"/>
        <w:ind w:firstLine="480"/>
        <w:rPr>
          <w:rFonts w:ascii="宋体" w:hAnsi="宋体"/>
          <w:sz w:val="24"/>
        </w:rPr>
      </w:pPr>
      <w:r>
        <w:rPr>
          <w:rFonts w:ascii="宋体" w:hAnsi="宋体"/>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sz w:val="24"/>
        </w:rPr>
        <w:t>量</w:t>
      </w:r>
      <w:r>
        <w:rPr>
          <w:rFonts w:ascii="宋体" w:hAnsi="宋体"/>
          <w:sz w:val="24"/>
        </w:rPr>
        <w:t>应由发包人审批，发包人确认需调整的材料单价及数量，作为调整合同价格的依据。</w:t>
      </w:r>
    </w:p>
    <w:p>
      <w:pPr>
        <w:spacing w:line="360" w:lineRule="exact"/>
        <w:ind w:firstLine="480"/>
        <w:rPr>
          <w:rFonts w:ascii="宋体" w:hAnsi="宋体"/>
          <w:sz w:val="24"/>
        </w:rPr>
      </w:pPr>
      <w:r>
        <w:rPr>
          <w:rFonts w:ascii="宋体" w:hAnsi="宋体"/>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exact"/>
        <w:ind w:firstLine="480"/>
        <w:rPr>
          <w:rFonts w:ascii="宋体" w:hAnsi="宋体"/>
          <w:sz w:val="24"/>
        </w:rPr>
      </w:pPr>
      <w:r>
        <w:rPr>
          <w:rFonts w:ascii="宋体" w:hAnsi="宋体"/>
          <w:sz w:val="24"/>
        </w:rPr>
        <w:t>（2）材料、工程设备价格变化的价款调整按照发包人提供的基准价格，按以下风险范围规定执行:</w:t>
      </w:r>
    </w:p>
    <w:p>
      <w:pPr>
        <w:spacing w:line="360" w:lineRule="exact"/>
        <w:ind w:firstLine="480"/>
        <w:rPr>
          <w:rFonts w:ascii="宋体" w:hAnsi="宋体"/>
          <w:sz w:val="24"/>
        </w:rPr>
      </w:pPr>
      <w:r>
        <w:rPr>
          <w:rFonts w:hint="eastAsia" w:ascii="宋体" w:hAnsi="宋体" w:cs="宋体"/>
          <w:sz w:val="24"/>
        </w:rPr>
        <w:t>①</w:t>
      </w:r>
      <w:r>
        <w:rPr>
          <w:rFonts w:ascii="宋体" w:hAnsi="宋体"/>
          <w:sz w:val="24"/>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exact"/>
        <w:ind w:firstLine="480"/>
        <w:rPr>
          <w:rFonts w:ascii="宋体" w:hAnsi="宋体"/>
          <w:sz w:val="24"/>
        </w:rPr>
      </w:pPr>
      <w:r>
        <w:rPr>
          <w:rFonts w:hint="eastAsia" w:ascii="宋体" w:hAnsi="宋体" w:cs="宋体"/>
          <w:sz w:val="24"/>
        </w:rPr>
        <w:t>②</w:t>
      </w:r>
      <w:r>
        <w:rPr>
          <w:rFonts w:ascii="宋体" w:hAnsi="宋体"/>
          <w:sz w:val="24"/>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exact"/>
        <w:ind w:firstLine="480"/>
        <w:rPr>
          <w:rFonts w:ascii="宋体" w:hAnsi="宋体"/>
          <w:sz w:val="24"/>
        </w:rPr>
      </w:pPr>
      <w:r>
        <w:rPr>
          <w:rFonts w:hint="eastAsia" w:ascii="宋体" w:hAnsi="宋体" w:cs="宋体"/>
          <w:sz w:val="24"/>
        </w:rPr>
        <w:t>③</w:t>
      </w:r>
      <w:r>
        <w:rPr>
          <w:rFonts w:ascii="宋体" w:hAnsi="宋体"/>
          <w:sz w:val="24"/>
        </w:rPr>
        <w:t>承包人在已标价工程量清单或预算书中载明材料单价等于基准价格的：除专用合同条款另有约定外，合同履行期间材料单价涨跌幅以基准价格为基础超过±5%时，其超过部分据实调整。</w:t>
      </w:r>
    </w:p>
    <w:p>
      <w:pPr>
        <w:spacing w:line="360" w:lineRule="exact"/>
        <w:ind w:firstLine="480"/>
        <w:rPr>
          <w:rFonts w:ascii="宋体" w:hAnsi="宋体"/>
          <w:sz w:val="24"/>
        </w:rPr>
      </w:pPr>
      <w:r>
        <w:rPr>
          <w:rFonts w:hint="eastAsia" w:ascii="宋体" w:hAnsi="宋体" w:cs="宋体"/>
          <w:sz w:val="24"/>
        </w:rPr>
        <w:t>④</w:t>
      </w:r>
      <w:r>
        <w:rPr>
          <w:rFonts w:ascii="宋体" w:hAnsi="宋体"/>
          <w:sz w:val="24"/>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exact"/>
        <w:ind w:firstLine="480"/>
        <w:rPr>
          <w:rFonts w:ascii="宋体" w:hAnsi="宋体"/>
          <w:sz w:val="24"/>
        </w:rPr>
      </w:pPr>
      <w:bookmarkStart w:id="290" w:name="OLE_LINK3"/>
      <w:r>
        <w:rPr>
          <w:rFonts w:ascii="宋体" w:hAnsi="宋体"/>
          <w:sz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exact"/>
        <w:ind w:firstLine="480"/>
        <w:rPr>
          <w:rFonts w:ascii="宋体" w:hAnsi="宋体"/>
          <w:sz w:val="24"/>
        </w:rPr>
      </w:pPr>
      <w:r>
        <w:rPr>
          <w:rFonts w:ascii="宋体" w:hAnsi="宋体"/>
          <w:sz w:val="24"/>
        </w:rPr>
        <w:t>（3）施工机械台班单价或施工机械使用费发生变化超过省级或行业建设主管部门或其授权的工程造价管理机构规定的范围时，按规定调整合同价格。</w:t>
      </w:r>
    </w:p>
    <w:p>
      <w:pPr>
        <w:spacing w:line="360" w:lineRule="exact"/>
        <w:ind w:firstLine="480"/>
        <w:rPr>
          <w:rFonts w:ascii="宋体" w:hAnsi="宋体"/>
          <w:sz w:val="24"/>
        </w:rPr>
      </w:pPr>
      <w:r>
        <w:rPr>
          <w:rFonts w:ascii="宋体" w:hAnsi="宋体"/>
          <w:sz w:val="24"/>
        </w:rPr>
        <w:t>第3种方式：专用合同条款约定的其他方式。</w:t>
      </w:r>
    </w:p>
    <w:p>
      <w:pPr>
        <w:pStyle w:val="7"/>
        <w:spacing w:before="120" w:after="120"/>
        <w:ind w:firstLine="420"/>
        <w:rPr>
          <w:bCs w:val="0"/>
          <w:szCs w:val="24"/>
        </w:rPr>
      </w:pPr>
      <w:bookmarkStart w:id="291" w:name="_Toc18683219"/>
      <w:bookmarkStart w:id="292" w:name="_Toc296346594"/>
      <w:bookmarkStart w:id="293" w:name="_Toc296503093"/>
      <w:bookmarkStart w:id="294" w:name="_Toc337558798"/>
      <w:r>
        <w:rPr>
          <w:bCs w:val="0"/>
          <w:szCs w:val="24"/>
        </w:rPr>
        <w:t>11.2法律变化引起的调整</w:t>
      </w:r>
      <w:bookmarkEnd w:id="291"/>
    </w:p>
    <w:bookmarkEnd w:id="292"/>
    <w:bookmarkEnd w:id="293"/>
    <w:bookmarkEnd w:id="294"/>
    <w:p>
      <w:pPr>
        <w:spacing w:line="360" w:lineRule="exact"/>
        <w:ind w:firstLine="480"/>
        <w:rPr>
          <w:rFonts w:ascii="宋体" w:hAnsi="宋体"/>
          <w:sz w:val="24"/>
        </w:rPr>
      </w:pPr>
      <w:r>
        <w:rPr>
          <w:rFonts w:ascii="宋体" w:hAnsi="宋体"/>
          <w:sz w:val="24"/>
        </w:rPr>
        <w:t>基准日</w:t>
      </w:r>
      <w:r>
        <w:rPr>
          <w:rFonts w:hint="eastAsia" w:ascii="宋体" w:hAnsi="宋体"/>
          <w:sz w:val="24"/>
        </w:rPr>
        <w:t>期</w:t>
      </w:r>
      <w:r>
        <w:rPr>
          <w:rFonts w:ascii="宋体" w:hAnsi="宋体"/>
          <w:sz w:val="24"/>
        </w:rPr>
        <w:t>后，法律变化</w:t>
      </w:r>
      <w:r>
        <w:rPr>
          <w:rFonts w:hint="eastAsia" w:ascii="宋体" w:hAnsi="宋体"/>
          <w:sz w:val="24"/>
        </w:rPr>
        <w:t>导致承包人在合同履行过程中所需要的费用发生除第11.1款〔市场价格波动引起的调整〕约定以外的增加时，由发包人承担由此增加的费用；减少时，应从合同价格中予以扣减。</w:t>
      </w:r>
      <w:r>
        <w:rPr>
          <w:rFonts w:ascii="宋体" w:hAnsi="宋体"/>
          <w:sz w:val="24"/>
        </w:rPr>
        <w:t>基准日</w:t>
      </w:r>
      <w:r>
        <w:rPr>
          <w:rFonts w:hint="eastAsia" w:ascii="宋体" w:hAnsi="宋体"/>
          <w:sz w:val="24"/>
        </w:rPr>
        <w:t>期</w:t>
      </w:r>
      <w:r>
        <w:rPr>
          <w:rFonts w:ascii="宋体" w:hAnsi="宋体"/>
          <w:sz w:val="24"/>
        </w:rPr>
        <w:t>后，</w:t>
      </w:r>
      <w:r>
        <w:rPr>
          <w:rFonts w:hint="eastAsia" w:ascii="宋体" w:hAnsi="宋体"/>
          <w:sz w:val="24"/>
        </w:rPr>
        <w:t>因</w:t>
      </w:r>
      <w:r>
        <w:rPr>
          <w:rFonts w:ascii="宋体" w:hAnsi="宋体"/>
          <w:sz w:val="24"/>
        </w:rPr>
        <w:t>法律变化</w:t>
      </w:r>
      <w:r>
        <w:rPr>
          <w:rFonts w:hint="eastAsia" w:ascii="宋体" w:hAnsi="宋体"/>
          <w:sz w:val="24"/>
        </w:rPr>
        <w:t>造成工期延误时，工期应予以顺延。</w:t>
      </w:r>
    </w:p>
    <w:p>
      <w:pPr>
        <w:spacing w:line="360" w:lineRule="exact"/>
        <w:ind w:firstLine="480"/>
        <w:rPr>
          <w:rFonts w:ascii="宋体" w:hAnsi="宋体"/>
          <w:sz w:val="24"/>
        </w:rPr>
      </w:pPr>
      <w:r>
        <w:rPr>
          <w:rFonts w:hint="eastAsia" w:ascii="宋体" w:hAnsi="宋体"/>
          <w:sz w:val="24"/>
        </w:rPr>
        <w:t>因法律变化引起的合同价格和工期调整，合同当事人无法达成一致的，由总监理工程师按第4.4款〔商定或确定〕的约定处理。</w:t>
      </w:r>
    </w:p>
    <w:p>
      <w:pPr>
        <w:spacing w:line="360" w:lineRule="exact"/>
        <w:ind w:firstLine="480"/>
        <w:rPr>
          <w:rFonts w:ascii="宋体" w:hAnsi="宋体"/>
          <w:sz w:val="24"/>
        </w:rPr>
      </w:pPr>
      <w:r>
        <w:rPr>
          <w:rFonts w:ascii="宋体" w:hAnsi="宋体"/>
          <w:kern w:val="0"/>
          <w:sz w:val="24"/>
        </w:rPr>
        <w:t>因承包人原因造成工期延误，在工期延误期间出现法律变化的，由此增加的费用和（或）延误的工期由承包人承担。</w:t>
      </w:r>
    </w:p>
    <w:p>
      <w:pPr>
        <w:pStyle w:val="6"/>
        <w:ind w:left="103" w:leftChars="0" w:firstLineChars="0"/>
      </w:pPr>
      <w:bookmarkStart w:id="295" w:name="_Toc18683220"/>
      <w:bookmarkStart w:id="296" w:name="_Toc337558799"/>
      <w:bookmarkStart w:id="297" w:name="_Toc296503096"/>
      <w:bookmarkStart w:id="298" w:name="_Toc296346597"/>
      <w:r>
        <w:t>12. 合同价格、计量与支付</w:t>
      </w:r>
      <w:bookmarkEnd w:id="295"/>
    </w:p>
    <w:bookmarkEnd w:id="296"/>
    <w:p>
      <w:pPr>
        <w:pStyle w:val="7"/>
        <w:spacing w:before="120" w:after="120"/>
        <w:ind w:firstLine="420"/>
        <w:rPr>
          <w:bCs w:val="0"/>
          <w:szCs w:val="24"/>
        </w:rPr>
      </w:pPr>
      <w:bookmarkStart w:id="299" w:name="_Toc18683221"/>
      <w:bookmarkStart w:id="300" w:name="_Toc337558800"/>
      <w:r>
        <w:rPr>
          <w:bCs w:val="0"/>
          <w:szCs w:val="24"/>
        </w:rPr>
        <w:t>12.1 合同价</w:t>
      </w:r>
      <w:bookmarkEnd w:id="297"/>
      <w:bookmarkEnd w:id="298"/>
      <w:r>
        <w:rPr>
          <w:bCs w:val="0"/>
          <w:szCs w:val="24"/>
        </w:rPr>
        <w:t>格形式</w:t>
      </w:r>
      <w:bookmarkEnd w:id="299"/>
    </w:p>
    <w:bookmarkEnd w:id="30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发包人和承包人应在合同协议书中</w:t>
      </w:r>
      <w:r>
        <w:rPr>
          <w:rFonts w:hint="eastAsia" w:ascii="宋体" w:hAnsi="宋体"/>
          <w:kern w:val="0"/>
          <w:sz w:val="24"/>
        </w:rPr>
        <w:t>选择</w:t>
      </w:r>
      <w:r>
        <w:rPr>
          <w:rFonts w:ascii="宋体" w:hAnsi="宋体"/>
          <w:kern w:val="0"/>
          <w:sz w:val="24"/>
        </w:rPr>
        <w:t xml:space="preserve">下列一种合同价格形式：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单价合同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单价合同是指合同当事人约定以工程量清单及其综合单价进行合同价格计算、调整和确认的建设工程施工合同，</w:t>
      </w:r>
      <w:r>
        <w:rPr>
          <w:rFonts w:ascii="宋体" w:hAnsi="宋体"/>
          <w:sz w:val="24"/>
        </w:rPr>
        <w:t>在约定的范围内合同单价不作调整</w:t>
      </w:r>
      <w:r>
        <w:rPr>
          <w:rFonts w:ascii="宋体" w:hAnsi="宋体"/>
          <w:kern w:val="0"/>
          <w:sz w:val="24"/>
        </w:rPr>
        <w:t>。合同当事人应在专用合同条款中约定综合单价包含的风险范围和风险费用的计算方法</w:t>
      </w:r>
      <w:r>
        <w:rPr>
          <w:rFonts w:ascii="宋体" w:hAnsi="宋体"/>
          <w:sz w:val="24"/>
        </w:rPr>
        <w:t>，</w:t>
      </w:r>
      <w:r>
        <w:rPr>
          <w:rFonts w:ascii="宋体" w:hAnsi="宋体"/>
          <w:kern w:val="0"/>
          <w:sz w:val="24"/>
        </w:rPr>
        <w:t>并约定风险范围以外的合同价格的调整方法，其中因市场价格波动引起的调整按第11.1款</w:t>
      </w:r>
      <w:r>
        <w:rPr>
          <w:rFonts w:hint="eastAsia" w:ascii="宋体" w:hAnsi="宋体"/>
          <w:kern w:val="0"/>
          <w:sz w:val="24"/>
        </w:rPr>
        <w:t>〔</w:t>
      </w:r>
      <w:r>
        <w:rPr>
          <w:rFonts w:ascii="宋体" w:hAnsi="宋体"/>
          <w:kern w:val="0"/>
          <w:sz w:val="24"/>
        </w:rPr>
        <w:t>市场价格波动引起的调整</w:t>
      </w:r>
      <w:r>
        <w:rPr>
          <w:rFonts w:hint="eastAsia" w:ascii="宋体" w:hAnsi="宋体"/>
          <w:kern w:val="0"/>
          <w:sz w:val="24"/>
        </w:rPr>
        <w:t>〕</w:t>
      </w:r>
      <w:r>
        <w:rPr>
          <w:rFonts w:ascii="宋体" w:hAnsi="宋体"/>
          <w:kern w:val="0"/>
          <w:sz w:val="24"/>
        </w:rPr>
        <w:t>约定执行。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总价合同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总价合同是指合同当事人约定以施工图、已标价工程量清单或预算书及有关条件进行合同价格计算、调整和确认的建设工程施工合同，</w:t>
      </w:r>
      <w:r>
        <w:rPr>
          <w:rFonts w:ascii="宋体" w:hAnsi="宋体"/>
          <w:sz w:val="24"/>
        </w:rPr>
        <w:t>在约定的范围内合同总价不作调整</w:t>
      </w:r>
      <w:r>
        <w:rPr>
          <w:rFonts w:ascii="宋体" w:hAnsi="宋体"/>
          <w:kern w:val="0"/>
          <w:sz w:val="24"/>
        </w:rPr>
        <w:t>。合同当事人应在专用合同条款中约定总价包含的风险范围和风险费用的计算方法，并约定风险范围以外的合同价格的调整方法，其中因市场价格波动引起的调整按第11.1款</w:t>
      </w:r>
      <w:r>
        <w:rPr>
          <w:rFonts w:hint="eastAsia" w:ascii="宋体" w:hAnsi="宋体"/>
          <w:kern w:val="0"/>
          <w:sz w:val="24"/>
        </w:rPr>
        <w:t>〔</w:t>
      </w:r>
      <w:r>
        <w:rPr>
          <w:rFonts w:ascii="宋体" w:hAnsi="宋体"/>
          <w:kern w:val="0"/>
          <w:sz w:val="24"/>
        </w:rPr>
        <w:t>市场价格波动引起的调整</w:t>
      </w:r>
      <w:r>
        <w:rPr>
          <w:rFonts w:hint="eastAsia" w:ascii="宋体" w:hAnsi="宋体"/>
          <w:kern w:val="0"/>
          <w:sz w:val="24"/>
        </w:rPr>
        <w:t>〕</w:t>
      </w:r>
      <w:r>
        <w:rPr>
          <w:rFonts w:ascii="宋体" w:hAnsi="宋体"/>
          <w:kern w:val="0"/>
          <w:sz w:val="24"/>
        </w:rPr>
        <w:t>、因法律变化引起的调整按第11.2款</w:t>
      </w:r>
      <w:r>
        <w:rPr>
          <w:rFonts w:hint="eastAsia" w:ascii="宋体" w:hAnsi="宋体"/>
          <w:kern w:val="0"/>
          <w:sz w:val="24"/>
        </w:rPr>
        <w:t>〔</w:t>
      </w:r>
      <w:r>
        <w:rPr>
          <w:rFonts w:ascii="宋体" w:hAnsi="宋体"/>
          <w:kern w:val="0"/>
          <w:sz w:val="24"/>
        </w:rPr>
        <w:t>法律变化引起的调整</w:t>
      </w:r>
      <w:r>
        <w:rPr>
          <w:rFonts w:hint="eastAsia" w:ascii="宋体" w:hAnsi="宋体"/>
          <w:kern w:val="0"/>
          <w:sz w:val="24"/>
        </w:rPr>
        <w:t>〕</w:t>
      </w:r>
      <w:r>
        <w:rPr>
          <w:rFonts w:ascii="宋体" w:hAnsi="宋体"/>
          <w:kern w:val="0"/>
          <w:sz w:val="24"/>
        </w:rPr>
        <w:t>约定执行。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其它价格形式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合同当事人可在专用合同条款中约定其他合同价格形式。</w:t>
      </w:r>
    </w:p>
    <w:p>
      <w:pPr>
        <w:pStyle w:val="7"/>
        <w:spacing w:before="120" w:after="120"/>
        <w:ind w:firstLine="420"/>
        <w:rPr>
          <w:bCs w:val="0"/>
          <w:szCs w:val="24"/>
        </w:rPr>
      </w:pPr>
      <w:bookmarkStart w:id="301" w:name="_Toc296503097"/>
      <w:bookmarkStart w:id="302" w:name="_Toc296346598"/>
      <w:bookmarkStart w:id="303" w:name="_Toc18683222"/>
      <w:bookmarkStart w:id="304" w:name="_Toc337558801"/>
      <w:r>
        <w:rPr>
          <w:bCs w:val="0"/>
          <w:szCs w:val="24"/>
        </w:rPr>
        <w:t>12.2预</w:t>
      </w:r>
      <w:bookmarkEnd w:id="301"/>
      <w:bookmarkEnd w:id="302"/>
      <w:bookmarkStart w:id="305" w:name="_Toc296346601"/>
      <w:bookmarkStart w:id="306" w:name="_Toc296503100"/>
      <w:r>
        <w:rPr>
          <w:bCs w:val="0"/>
          <w:szCs w:val="24"/>
        </w:rPr>
        <w:t>付款</w:t>
      </w:r>
      <w:bookmarkEnd w:id="303"/>
    </w:p>
    <w:bookmarkEnd w:id="304"/>
    <w:bookmarkEnd w:id="305"/>
    <w:bookmarkEnd w:id="306"/>
    <w:p>
      <w:pPr>
        <w:spacing w:line="360" w:lineRule="exact"/>
        <w:ind w:firstLine="480"/>
        <w:jc w:val="left"/>
        <w:rPr>
          <w:rFonts w:ascii="宋体" w:hAnsi="宋体"/>
          <w:kern w:val="0"/>
          <w:sz w:val="24"/>
        </w:rPr>
      </w:pPr>
      <w:r>
        <w:rPr>
          <w:rFonts w:ascii="宋体" w:hAnsi="宋体"/>
          <w:sz w:val="24"/>
        </w:rPr>
        <w:t>12.2.</w:t>
      </w:r>
      <w:r>
        <w:rPr>
          <w:rFonts w:ascii="宋体" w:hAnsi="宋体"/>
          <w:kern w:val="0"/>
          <w:sz w:val="24"/>
        </w:rPr>
        <w:t>1预付款的支付</w:t>
      </w:r>
    </w:p>
    <w:p>
      <w:pPr>
        <w:spacing w:line="360" w:lineRule="exact"/>
        <w:ind w:firstLine="480"/>
        <w:jc w:val="left"/>
        <w:rPr>
          <w:rFonts w:ascii="宋体" w:hAnsi="宋体"/>
          <w:kern w:val="0"/>
          <w:sz w:val="24"/>
        </w:rPr>
      </w:pPr>
      <w:r>
        <w:rPr>
          <w:rFonts w:ascii="宋体" w:hAnsi="宋体"/>
          <w:kern w:val="0"/>
          <w:sz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exact"/>
        <w:ind w:firstLine="480"/>
        <w:jc w:val="left"/>
        <w:rPr>
          <w:rFonts w:ascii="宋体" w:hAnsi="宋体"/>
          <w:kern w:val="0"/>
          <w:sz w:val="24"/>
        </w:rPr>
      </w:pPr>
      <w:r>
        <w:rPr>
          <w:rFonts w:ascii="宋体" w:hAnsi="宋体"/>
          <w:kern w:val="0"/>
          <w:sz w:val="24"/>
        </w:rPr>
        <w:t>除专用合同条款另有约定外，预付款在进度付款中同比例扣回。</w:t>
      </w:r>
      <w:bookmarkEnd w:id="290"/>
      <w:r>
        <w:rPr>
          <w:rFonts w:ascii="宋体" w:hAnsi="宋体"/>
          <w:kern w:val="0"/>
          <w:sz w:val="24"/>
        </w:rPr>
        <w:t>在颁发工程接收证书前，提前解除合同的，尚未扣完的预付款应与合同价款一并结算。</w:t>
      </w:r>
    </w:p>
    <w:p>
      <w:pPr>
        <w:spacing w:line="360" w:lineRule="exact"/>
        <w:ind w:firstLine="480"/>
        <w:jc w:val="left"/>
        <w:rPr>
          <w:rFonts w:ascii="宋体" w:hAnsi="宋体"/>
          <w:kern w:val="0"/>
          <w:sz w:val="24"/>
        </w:rPr>
      </w:pPr>
      <w:r>
        <w:rPr>
          <w:rFonts w:ascii="宋体" w:hAnsi="宋体"/>
          <w:kern w:val="0"/>
          <w:sz w:val="24"/>
        </w:rPr>
        <w:t>发包人逾期支付预付款超过7天的，承包人有权向发包人发出要求预付的催告通知，发包人收到通知后7天内仍未支付的，承包人有权暂停施工，并按第16.1.1项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执行。</w:t>
      </w:r>
    </w:p>
    <w:p>
      <w:pPr>
        <w:spacing w:line="360" w:lineRule="exact"/>
        <w:ind w:firstLine="480"/>
        <w:jc w:val="left"/>
        <w:rPr>
          <w:rFonts w:ascii="宋体" w:hAnsi="宋体"/>
          <w:sz w:val="24"/>
        </w:rPr>
      </w:pPr>
      <w:r>
        <w:rPr>
          <w:rFonts w:ascii="宋体" w:hAnsi="宋体"/>
          <w:sz w:val="24"/>
        </w:rPr>
        <w:t>12.2.2 预付款担保</w:t>
      </w:r>
    </w:p>
    <w:p>
      <w:pPr>
        <w:spacing w:line="360" w:lineRule="exact"/>
        <w:ind w:firstLine="480"/>
        <w:jc w:val="left"/>
        <w:rPr>
          <w:rFonts w:ascii="宋体" w:hAnsi="宋体"/>
          <w:kern w:val="0"/>
          <w:sz w:val="24"/>
        </w:rPr>
      </w:pPr>
      <w:r>
        <w:rPr>
          <w:rFonts w:hint="eastAsia" w:ascii="宋体" w:hAnsi="宋体"/>
          <w:kern w:val="0"/>
          <w:sz w:val="24"/>
        </w:rPr>
        <w:t>发包人要求承包人提供预付款担保的</w:t>
      </w:r>
      <w:r>
        <w:rPr>
          <w:rFonts w:ascii="宋体" w:hAnsi="宋体"/>
          <w:kern w:val="0"/>
          <w:sz w:val="24"/>
        </w:rPr>
        <w:t>，承包人应在发包人支付预付款7天前提供预付款担保</w:t>
      </w:r>
      <w:r>
        <w:rPr>
          <w:rFonts w:hint="eastAsia" w:ascii="宋体" w:hAnsi="宋体"/>
          <w:kern w:val="0"/>
          <w:sz w:val="24"/>
        </w:rPr>
        <w:t>，</w:t>
      </w:r>
      <w:r>
        <w:rPr>
          <w:rFonts w:ascii="宋体" w:hAnsi="宋体"/>
          <w:kern w:val="0"/>
          <w:sz w:val="24"/>
        </w:rPr>
        <w:t>专用合同条款另有约定</w:t>
      </w:r>
      <w:r>
        <w:rPr>
          <w:rFonts w:hint="eastAsia" w:ascii="宋体" w:hAnsi="宋体"/>
          <w:kern w:val="0"/>
          <w:sz w:val="24"/>
        </w:rPr>
        <w:t>除</w:t>
      </w:r>
      <w:r>
        <w:rPr>
          <w:rFonts w:ascii="宋体" w:hAnsi="宋体"/>
          <w:kern w:val="0"/>
          <w:sz w:val="24"/>
        </w:rPr>
        <w:t>外。预付款担保可采用银行保函、担保公司担保等形式，具体由合同当事人在专用合同条款中约定。在预付款完全扣回之前，承包人应保证预付款担保持续有效。</w:t>
      </w:r>
    </w:p>
    <w:p>
      <w:pPr>
        <w:spacing w:line="360" w:lineRule="exact"/>
        <w:ind w:firstLine="480"/>
        <w:jc w:val="left"/>
        <w:rPr>
          <w:rFonts w:ascii="宋体" w:hAnsi="宋体"/>
          <w:kern w:val="0"/>
          <w:sz w:val="24"/>
        </w:rPr>
      </w:pPr>
      <w:r>
        <w:rPr>
          <w:rFonts w:ascii="宋体" w:hAnsi="宋体"/>
          <w:kern w:val="0"/>
          <w:sz w:val="24"/>
        </w:rPr>
        <w:t>发包人在工程款中逐期扣回预付款后，预付款担保额度应相应减少，但剩余的预付款担保金额不得低于未被扣回的预付款金额。</w:t>
      </w:r>
    </w:p>
    <w:p>
      <w:pPr>
        <w:pStyle w:val="7"/>
        <w:spacing w:before="120" w:after="120"/>
        <w:ind w:firstLine="420"/>
        <w:rPr>
          <w:bCs w:val="0"/>
          <w:szCs w:val="24"/>
        </w:rPr>
      </w:pPr>
      <w:bookmarkStart w:id="307" w:name="_Toc18683223"/>
      <w:bookmarkStart w:id="308" w:name="_Toc337558802"/>
      <w:r>
        <w:rPr>
          <w:bCs w:val="0"/>
          <w:szCs w:val="24"/>
        </w:rPr>
        <w:t>12.3计量</w:t>
      </w:r>
      <w:bookmarkEnd w:id="307"/>
    </w:p>
    <w:bookmarkEnd w:id="308"/>
    <w:p>
      <w:pPr>
        <w:spacing w:line="360" w:lineRule="exact"/>
        <w:ind w:firstLine="480"/>
        <w:jc w:val="left"/>
        <w:rPr>
          <w:rFonts w:ascii="宋体" w:hAnsi="宋体"/>
          <w:kern w:val="0"/>
          <w:sz w:val="24"/>
        </w:rPr>
      </w:pPr>
      <w:r>
        <w:rPr>
          <w:rFonts w:ascii="宋体" w:hAnsi="宋体"/>
          <w:kern w:val="0"/>
          <w:sz w:val="24"/>
        </w:rPr>
        <w:t>12.3.1 计量原则</w:t>
      </w:r>
    </w:p>
    <w:p>
      <w:pPr>
        <w:spacing w:line="360" w:lineRule="exact"/>
        <w:ind w:firstLine="480"/>
        <w:jc w:val="left"/>
        <w:rPr>
          <w:rFonts w:ascii="宋体" w:hAnsi="宋体"/>
          <w:kern w:val="0"/>
          <w:sz w:val="24"/>
        </w:rPr>
      </w:pPr>
      <w:r>
        <w:rPr>
          <w:rFonts w:ascii="宋体" w:hAnsi="宋体"/>
          <w:kern w:val="0"/>
          <w:sz w:val="24"/>
        </w:rPr>
        <w:t>工程量计量按照合同约定的工程量计算规则、图纸及变更指示</w:t>
      </w:r>
      <w:r>
        <w:rPr>
          <w:rFonts w:hint="eastAsia" w:ascii="宋体" w:hAnsi="宋体"/>
          <w:kern w:val="0"/>
          <w:sz w:val="24"/>
        </w:rPr>
        <w:t>等</w:t>
      </w:r>
      <w:r>
        <w:rPr>
          <w:rFonts w:ascii="宋体" w:hAnsi="宋体"/>
          <w:kern w:val="0"/>
          <w:sz w:val="24"/>
        </w:rPr>
        <w:t>进行计量。工程量计算规则应以相关的国家标准、行业标准</w:t>
      </w:r>
      <w:r>
        <w:rPr>
          <w:rFonts w:hint="eastAsia" w:ascii="宋体" w:hAnsi="宋体"/>
          <w:kern w:val="0"/>
          <w:sz w:val="24"/>
        </w:rPr>
        <w:t>等</w:t>
      </w:r>
      <w:r>
        <w:rPr>
          <w:rFonts w:ascii="宋体" w:hAnsi="宋体"/>
          <w:kern w:val="0"/>
          <w:sz w:val="24"/>
        </w:rPr>
        <w:t>为依据，由合同当事人在专用合同条款中约定。</w:t>
      </w:r>
    </w:p>
    <w:p>
      <w:pPr>
        <w:spacing w:line="360" w:lineRule="exact"/>
        <w:ind w:firstLine="480"/>
        <w:jc w:val="left"/>
        <w:rPr>
          <w:rFonts w:ascii="宋体" w:hAnsi="宋体"/>
          <w:kern w:val="0"/>
          <w:sz w:val="24"/>
        </w:rPr>
      </w:pPr>
      <w:r>
        <w:rPr>
          <w:rFonts w:ascii="宋体" w:hAnsi="宋体"/>
          <w:kern w:val="0"/>
          <w:sz w:val="24"/>
        </w:rPr>
        <w:t>12.3.2 计量周期</w:t>
      </w:r>
    </w:p>
    <w:p>
      <w:pPr>
        <w:spacing w:line="360" w:lineRule="exact"/>
        <w:ind w:firstLine="480"/>
        <w:jc w:val="left"/>
        <w:rPr>
          <w:rFonts w:ascii="宋体" w:hAnsi="宋体"/>
          <w:kern w:val="0"/>
          <w:sz w:val="24"/>
        </w:rPr>
      </w:pPr>
      <w:r>
        <w:rPr>
          <w:rFonts w:ascii="宋体" w:hAnsi="宋体"/>
          <w:kern w:val="0"/>
          <w:sz w:val="24"/>
        </w:rPr>
        <w:t>除专用合同条款另有约定外，工程量的计量按月进行。</w:t>
      </w:r>
    </w:p>
    <w:p>
      <w:pPr>
        <w:spacing w:line="360" w:lineRule="exact"/>
        <w:ind w:firstLine="480"/>
        <w:jc w:val="left"/>
        <w:rPr>
          <w:rFonts w:ascii="宋体" w:hAnsi="宋体"/>
          <w:kern w:val="0"/>
          <w:sz w:val="24"/>
        </w:rPr>
      </w:pPr>
      <w:r>
        <w:rPr>
          <w:rFonts w:ascii="宋体" w:hAnsi="宋体"/>
          <w:kern w:val="0"/>
          <w:sz w:val="24"/>
        </w:rPr>
        <w:t>12.3.3 单价合同的计量</w:t>
      </w:r>
    </w:p>
    <w:p>
      <w:pPr>
        <w:spacing w:line="360" w:lineRule="exact"/>
        <w:ind w:firstLine="480"/>
        <w:jc w:val="left"/>
        <w:rPr>
          <w:rFonts w:ascii="宋体" w:hAnsi="宋体"/>
          <w:kern w:val="0"/>
          <w:sz w:val="24"/>
        </w:rPr>
      </w:pPr>
      <w:r>
        <w:rPr>
          <w:rFonts w:ascii="宋体" w:hAnsi="宋体"/>
          <w:kern w:val="0"/>
          <w:sz w:val="24"/>
        </w:rPr>
        <w:t>除专用合同条款另有约定外，单价合同的计量按照本项约定执行：</w:t>
      </w:r>
    </w:p>
    <w:p>
      <w:pPr>
        <w:spacing w:line="360" w:lineRule="exact"/>
        <w:ind w:firstLine="480"/>
        <w:jc w:val="left"/>
        <w:rPr>
          <w:rFonts w:ascii="宋体" w:hAnsi="宋体"/>
          <w:kern w:val="0"/>
          <w:sz w:val="24"/>
        </w:rPr>
      </w:pPr>
      <w:r>
        <w:rPr>
          <w:rFonts w:ascii="宋体" w:hAnsi="宋体"/>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kern w:val="0"/>
          <w:sz w:val="24"/>
        </w:rPr>
      </w:pPr>
      <w:r>
        <w:rPr>
          <w:rFonts w:ascii="宋体" w:hAnsi="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exact"/>
        <w:ind w:firstLine="480"/>
        <w:jc w:val="left"/>
        <w:rPr>
          <w:rFonts w:ascii="宋体" w:hAnsi="宋体"/>
          <w:kern w:val="0"/>
          <w:sz w:val="24"/>
        </w:rPr>
      </w:pPr>
      <w:r>
        <w:rPr>
          <w:rFonts w:ascii="宋体" w:hAnsi="宋体"/>
          <w:kern w:val="0"/>
          <w:sz w:val="24"/>
        </w:rPr>
        <w:t>（3）监理人未在收到承包人提交的工程量报表后的7天内完成审核的，承包人报送的工程量报告中的工程量视为承包人实际完成的工程量，据此计算工程价款。</w:t>
      </w:r>
    </w:p>
    <w:p>
      <w:pPr>
        <w:spacing w:line="360" w:lineRule="exact"/>
        <w:ind w:firstLine="480"/>
        <w:jc w:val="left"/>
        <w:rPr>
          <w:rFonts w:ascii="宋体" w:hAnsi="宋体"/>
          <w:kern w:val="0"/>
          <w:sz w:val="24"/>
        </w:rPr>
      </w:pPr>
      <w:r>
        <w:rPr>
          <w:rFonts w:ascii="宋体" w:hAnsi="宋体"/>
          <w:kern w:val="0"/>
          <w:sz w:val="24"/>
        </w:rPr>
        <w:t>12.3.4 总价合同的计量</w:t>
      </w:r>
    </w:p>
    <w:p>
      <w:pPr>
        <w:spacing w:line="360" w:lineRule="exact"/>
        <w:ind w:firstLine="480"/>
        <w:jc w:val="left"/>
        <w:rPr>
          <w:rFonts w:ascii="宋体" w:hAnsi="宋体"/>
          <w:kern w:val="0"/>
          <w:sz w:val="24"/>
        </w:rPr>
      </w:pPr>
      <w:r>
        <w:rPr>
          <w:rFonts w:ascii="宋体" w:hAnsi="宋体"/>
          <w:kern w:val="0"/>
          <w:sz w:val="24"/>
        </w:rPr>
        <w:t>除专用合同条款另有约定外，按</w:t>
      </w:r>
      <w:r>
        <w:rPr>
          <w:rFonts w:hint="eastAsia" w:ascii="宋体" w:hAnsi="宋体"/>
          <w:kern w:val="0"/>
          <w:sz w:val="24"/>
        </w:rPr>
        <w:t>月计量支付</w:t>
      </w:r>
      <w:r>
        <w:rPr>
          <w:rFonts w:ascii="宋体" w:hAnsi="宋体"/>
          <w:kern w:val="0"/>
          <w:sz w:val="24"/>
        </w:rPr>
        <w:t>的总价合同，按照本项约定执行：</w:t>
      </w:r>
    </w:p>
    <w:p>
      <w:pPr>
        <w:spacing w:line="360" w:lineRule="exact"/>
        <w:ind w:firstLine="480"/>
        <w:jc w:val="left"/>
        <w:rPr>
          <w:rFonts w:ascii="宋体" w:hAnsi="宋体"/>
          <w:kern w:val="0"/>
          <w:sz w:val="24"/>
        </w:rPr>
      </w:pPr>
      <w:r>
        <w:rPr>
          <w:rFonts w:ascii="宋体" w:hAnsi="宋体"/>
          <w:kern w:val="0"/>
          <w:sz w:val="24"/>
        </w:rPr>
        <w:t>（1）承包人应于每月25日向监理人报送上月20日至当月19日已完成的工程量报告，并附具进度付款申请单、已完成工程量报表和有关资料。</w:t>
      </w:r>
    </w:p>
    <w:p>
      <w:pPr>
        <w:spacing w:line="360" w:lineRule="exact"/>
        <w:ind w:firstLine="480"/>
        <w:jc w:val="left"/>
        <w:rPr>
          <w:rFonts w:ascii="宋体" w:hAnsi="宋体"/>
          <w:kern w:val="0"/>
          <w:sz w:val="24"/>
        </w:rPr>
      </w:pPr>
      <w:r>
        <w:rPr>
          <w:rFonts w:ascii="宋体" w:hAnsi="宋体"/>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exact"/>
        <w:ind w:firstLine="480"/>
        <w:jc w:val="left"/>
        <w:rPr>
          <w:rFonts w:ascii="宋体" w:hAnsi="宋体"/>
          <w:kern w:val="0"/>
          <w:sz w:val="24"/>
        </w:rPr>
      </w:pPr>
      <w:r>
        <w:rPr>
          <w:rFonts w:ascii="宋体" w:hAnsi="宋体"/>
          <w:kern w:val="0"/>
          <w:sz w:val="24"/>
        </w:rPr>
        <w:t>（3）监理人未在收到承包人提交的工程量报表后的7天内完成复核的，承包人提交的工程量报告中的工程量视为承包人实际完成的工程量。</w:t>
      </w:r>
    </w:p>
    <w:p>
      <w:pPr>
        <w:spacing w:line="360" w:lineRule="exact"/>
        <w:ind w:firstLine="480"/>
        <w:jc w:val="left"/>
        <w:rPr>
          <w:rFonts w:ascii="宋体" w:hAnsi="宋体"/>
          <w:kern w:val="0"/>
          <w:sz w:val="24"/>
        </w:rPr>
      </w:pPr>
      <w:r>
        <w:rPr>
          <w:rFonts w:ascii="宋体" w:hAnsi="宋体"/>
          <w:kern w:val="0"/>
          <w:sz w:val="24"/>
        </w:rPr>
        <w:t>12.3.5 总价合同采用支付分解表计量支付的，可以按照第12.3.4项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kern w:val="0"/>
          <w:sz w:val="24"/>
        </w:rPr>
        <w:t>约定进行计量，但合同价款按照支付分解表进行支付。</w:t>
      </w:r>
    </w:p>
    <w:p>
      <w:pPr>
        <w:spacing w:line="360" w:lineRule="exact"/>
        <w:ind w:firstLine="480"/>
        <w:jc w:val="left"/>
        <w:rPr>
          <w:rFonts w:ascii="宋体" w:hAnsi="宋体"/>
          <w:kern w:val="0"/>
          <w:sz w:val="24"/>
        </w:rPr>
      </w:pPr>
      <w:r>
        <w:rPr>
          <w:rFonts w:ascii="宋体" w:hAnsi="宋体"/>
          <w:kern w:val="0"/>
          <w:sz w:val="24"/>
        </w:rPr>
        <w:t>12.3.6 其他价格形式合同的计量</w:t>
      </w:r>
    </w:p>
    <w:p>
      <w:pPr>
        <w:spacing w:line="360" w:lineRule="exact"/>
        <w:ind w:firstLine="480"/>
        <w:jc w:val="left"/>
        <w:rPr>
          <w:rFonts w:ascii="宋体" w:hAnsi="宋体"/>
          <w:kern w:val="0"/>
          <w:sz w:val="24"/>
        </w:rPr>
      </w:pPr>
      <w:r>
        <w:rPr>
          <w:rFonts w:ascii="宋体" w:hAnsi="宋体"/>
          <w:kern w:val="0"/>
          <w:sz w:val="24"/>
        </w:rPr>
        <w:t>合同当事人可在专用合同条款中约定其他价格形式合同的计量方式和程序。</w:t>
      </w:r>
    </w:p>
    <w:p>
      <w:pPr>
        <w:pStyle w:val="7"/>
        <w:spacing w:before="120" w:after="120"/>
        <w:ind w:firstLine="420"/>
        <w:rPr>
          <w:bCs w:val="0"/>
          <w:szCs w:val="24"/>
        </w:rPr>
      </w:pPr>
      <w:bookmarkStart w:id="309" w:name="_Toc296503101"/>
      <w:bookmarkStart w:id="310" w:name="_Toc296346602"/>
      <w:bookmarkStart w:id="311" w:name="_Toc18683224"/>
      <w:bookmarkStart w:id="312" w:name="_Toc337558803"/>
      <w:r>
        <w:rPr>
          <w:bCs w:val="0"/>
          <w:szCs w:val="24"/>
        </w:rPr>
        <w:t>12.4工程进度款支</w:t>
      </w:r>
      <w:bookmarkEnd w:id="309"/>
      <w:bookmarkEnd w:id="310"/>
      <w:r>
        <w:rPr>
          <w:bCs w:val="0"/>
          <w:szCs w:val="24"/>
        </w:rPr>
        <w:t>付</w:t>
      </w:r>
      <w:bookmarkEnd w:id="311"/>
    </w:p>
    <w:bookmarkEnd w:id="312"/>
    <w:p>
      <w:pPr>
        <w:spacing w:line="360" w:lineRule="exact"/>
        <w:ind w:firstLine="480"/>
        <w:jc w:val="left"/>
        <w:rPr>
          <w:rFonts w:ascii="宋体" w:hAnsi="宋体"/>
          <w:kern w:val="0"/>
          <w:sz w:val="24"/>
        </w:rPr>
      </w:pPr>
      <w:r>
        <w:rPr>
          <w:rFonts w:ascii="宋体" w:hAnsi="宋体"/>
          <w:sz w:val="24"/>
        </w:rPr>
        <w:t>1</w:t>
      </w:r>
      <w:r>
        <w:rPr>
          <w:rFonts w:ascii="宋体" w:hAnsi="宋体"/>
          <w:kern w:val="0"/>
          <w:sz w:val="24"/>
        </w:rPr>
        <w:t>2.4.1 付款周期</w:t>
      </w:r>
    </w:p>
    <w:p>
      <w:pPr>
        <w:spacing w:line="360" w:lineRule="exact"/>
        <w:ind w:firstLine="480"/>
        <w:jc w:val="left"/>
        <w:rPr>
          <w:rFonts w:ascii="宋体" w:hAnsi="宋体"/>
          <w:kern w:val="0"/>
          <w:sz w:val="24"/>
        </w:rPr>
      </w:pPr>
      <w:r>
        <w:rPr>
          <w:rFonts w:ascii="宋体" w:hAnsi="宋体"/>
          <w:kern w:val="0"/>
          <w:sz w:val="24"/>
        </w:rPr>
        <w:t>除专用合同条款另有约定外，付款周期应按照第12.3.2</w:t>
      </w:r>
      <w:r>
        <w:rPr>
          <w:rFonts w:hint="eastAsia" w:ascii="宋体" w:hAnsi="宋体"/>
          <w:kern w:val="0"/>
          <w:sz w:val="24"/>
        </w:rPr>
        <w:t>项〔</w:t>
      </w:r>
      <w:r>
        <w:rPr>
          <w:rFonts w:ascii="宋体" w:hAnsi="宋体"/>
          <w:kern w:val="0"/>
          <w:sz w:val="24"/>
        </w:rPr>
        <w:t>计量周期</w:t>
      </w:r>
      <w:r>
        <w:rPr>
          <w:rFonts w:hint="eastAsia" w:ascii="宋体" w:hAnsi="宋体"/>
          <w:kern w:val="0"/>
          <w:sz w:val="24"/>
        </w:rPr>
        <w:t>〕</w:t>
      </w:r>
      <w:r>
        <w:rPr>
          <w:rFonts w:ascii="宋体" w:hAnsi="宋体"/>
          <w:kern w:val="0"/>
          <w:sz w:val="24"/>
        </w:rPr>
        <w:t>的约定与计量周期保持一致。</w:t>
      </w:r>
    </w:p>
    <w:p>
      <w:pPr>
        <w:autoSpaceDE w:val="0"/>
        <w:autoSpaceDN w:val="0"/>
        <w:adjustRightInd w:val="0"/>
        <w:spacing w:line="360" w:lineRule="exact"/>
        <w:ind w:firstLine="480"/>
        <w:jc w:val="left"/>
        <w:rPr>
          <w:rFonts w:ascii="宋体" w:hAnsi="宋体"/>
          <w:kern w:val="0"/>
          <w:sz w:val="24"/>
        </w:rPr>
      </w:pPr>
      <w:r>
        <w:rPr>
          <w:rFonts w:ascii="宋体" w:hAnsi="宋体"/>
          <w:sz w:val="24"/>
        </w:rPr>
        <w:t>12.4</w:t>
      </w:r>
      <w:r>
        <w:rPr>
          <w:rFonts w:ascii="宋体" w:hAnsi="宋体"/>
          <w:kern w:val="0"/>
          <w:sz w:val="24"/>
        </w:rPr>
        <w:t>.2 进度付款申请单的编制</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除专用合同条款另有约定外，进度付款申请单应包括下列内容：</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（1）截至本次付款周期已完成工作对应的金额；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（2）根据第10条</w:t>
      </w:r>
      <w:r>
        <w:rPr>
          <w:rFonts w:hint="eastAsia" w:ascii="宋体" w:hAnsi="宋体"/>
          <w:kern w:val="0"/>
          <w:sz w:val="24"/>
        </w:rPr>
        <w:t>〔</w:t>
      </w:r>
      <w:r>
        <w:rPr>
          <w:rFonts w:ascii="宋体" w:hAnsi="宋体"/>
          <w:kern w:val="0"/>
          <w:sz w:val="24"/>
        </w:rPr>
        <w:t>变更</w:t>
      </w:r>
      <w:r>
        <w:rPr>
          <w:rFonts w:hint="eastAsia" w:ascii="宋体" w:hAnsi="宋体"/>
          <w:kern w:val="0"/>
          <w:sz w:val="24"/>
        </w:rPr>
        <w:t>〕</w:t>
      </w:r>
      <w:r>
        <w:rPr>
          <w:rFonts w:ascii="宋体" w:hAnsi="宋体"/>
          <w:kern w:val="0"/>
          <w:sz w:val="24"/>
        </w:rPr>
        <w:t>应增加和扣减的变更金额；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（3）根据第12.2款</w:t>
      </w:r>
      <w:r>
        <w:rPr>
          <w:rFonts w:hint="eastAsia" w:ascii="宋体" w:hAnsi="宋体"/>
          <w:kern w:val="0"/>
          <w:sz w:val="24"/>
        </w:rPr>
        <w:t>〔</w:t>
      </w:r>
      <w:r>
        <w:rPr>
          <w:rFonts w:ascii="宋体" w:hAnsi="宋体"/>
          <w:kern w:val="0"/>
          <w:sz w:val="24"/>
        </w:rPr>
        <w:t>预付款</w:t>
      </w:r>
      <w:r>
        <w:rPr>
          <w:rFonts w:hint="eastAsia" w:ascii="宋体" w:hAnsi="宋体"/>
          <w:kern w:val="0"/>
          <w:sz w:val="24"/>
        </w:rPr>
        <w:t>〕</w:t>
      </w:r>
      <w:r>
        <w:rPr>
          <w:rFonts w:ascii="宋体" w:hAnsi="宋体"/>
          <w:kern w:val="0"/>
          <w:sz w:val="24"/>
        </w:rPr>
        <w:t>约定应支付的预付款和扣减的返还预付款；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（4）根据第15.3款</w:t>
      </w:r>
      <w:r>
        <w:rPr>
          <w:rFonts w:hint="eastAsia" w:ascii="宋体" w:hAnsi="宋体"/>
          <w:kern w:val="0"/>
          <w:sz w:val="24"/>
        </w:rPr>
        <w:t>〔</w:t>
      </w:r>
      <w:r>
        <w:rPr>
          <w:rFonts w:ascii="宋体" w:hAnsi="宋体"/>
          <w:kern w:val="0"/>
          <w:sz w:val="24"/>
        </w:rPr>
        <w:t>质量保证金</w:t>
      </w:r>
      <w:r>
        <w:rPr>
          <w:rFonts w:hint="eastAsia" w:ascii="宋体" w:hAnsi="宋体"/>
          <w:kern w:val="0"/>
          <w:sz w:val="24"/>
        </w:rPr>
        <w:t>〕</w:t>
      </w:r>
      <w:r>
        <w:rPr>
          <w:rFonts w:ascii="宋体" w:hAnsi="宋体"/>
          <w:kern w:val="0"/>
          <w:sz w:val="24"/>
        </w:rPr>
        <w:t>约定应扣减的质量保证金；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（5）根据第19条</w:t>
      </w:r>
      <w:r>
        <w:rPr>
          <w:rFonts w:hint="eastAsia" w:ascii="宋体" w:hAnsi="宋体"/>
          <w:kern w:val="0"/>
          <w:sz w:val="24"/>
        </w:rPr>
        <w:t>〔</w:t>
      </w:r>
      <w:r>
        <w:rPr>
          <w:rFonts w:ascii="宋体" w:hAnsi="宋体"/>
          <w:kern w:val="0"/>
          <w:sz w:val="24"/>
        </w:rPr>
        <w:t>索赔</w:t>
      </w:r>
      <w:r>
        <w:rPr>
          <w:rFonts w:hint="eastAsia" w:ascii="宋体" w:hAnsi="宋体"/>
          <w:kern w:val="0"/>
          <w:sz w:val="24"/>
        </w:rPr>
        <w:t>〕</w:t>
      </w:r>
      <w:r>
        <w:rPr>
          <w:rFonts w:ascii="宋体" w:hAnsi="宋体"/>
          <w:kern w:val="0"/>
          <w:sz w:val="24"/>
        </w:rPr>
        <w:t>应增加和扣减的索赔金额；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（6）对已签发的进度款支付证书中出现错误的修正，应在本次进度付款中支付或扣除的金额；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（7）根据合同约定应增加和扣减的其他金额。</w:t>
      </w:r>
    </w:p>
    <w:p>
      <w:pPr>
        <w:spacing w:line="360" w:lineRule="exact"/>
        <w:ind w:firstLine="480"/>
        <w:jc w:val="left"/>
        <w:rPr>
          <w:rFonts w:ascii="宋体" w:hAnsi="宋体"/>
          <w:kern w:val="0"/>
          <w:sz w:val="24"/>
        </w:rPr>
      </w:pPr>
      <w:r>
        <w:rPr>
          <w:rFonts w:ascii="宋体" w:hAnsi="宋体"/>
          <w:kern w:val="0"/>
          <w:sz w:val="24"/>
        </w:rPr>
        <w:t>12.4.3 进度付款申请单的提交</w:t>
      </w:r>
    </w:p>
    <w:p>
      <w:pPr>
        <w:spacing w:line="360" w:lineRule="exact"/>
        <w:ind w:firstLine="480"/>
        <w:jc w:val="left"/>
        <w:rPr>
          <w:rFonts w:ascii="宋体" w:hAnsi="宋体"/>
          <w:kern w:val="0"/>
          <w:sz w:val="24"/>
        </w:rPr>
      </w:pPr>
      <w:r>
        <w:rPr>
          <w:rFonts w:ascii="宋体" w:hAnsi="宋体"/>
          <w:kern w:val="0"/>
          <w:sz w:val="24"/>
        </w:rPr>
        <w:t>（1）单价合同进度付款申请单的提交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单价合同的进度付款申请单，按照第12.3.3项</w:t>
      </w:r>
      <w:r>
        <w:rPr>
          <w:rFonts w:hint="eastAsia" w:ascii="宋体" w:hAnsi="宋体"/>
          <w:kern w:val="0"/>
          <w:sz w:val="24"/>
        </w:rPr>
        <w:t>〔</w:t>
      </w:r>
      <w:r>
        <w:rPr>
          <w:rFonts w:ascii="宋体" w:hAnsi="宋体"/>
          <w:kern w:val="0"/>
          <w:sz w:val="24"/>
        </w:rPr>
        <w:t>单价合同的计量</w:t>
      </w:r>
      <w:r>
        <w:rPr>
          <w:rFonts w:hint="eastAsia" w:ascii="宋体" w:hAnsi="宋体"/>
          <w:kern w:val="0"/>
          <w:sz w:val="24"/>
        </w:rPr>
        <w:t>〕</w:t>
      </w:r>
      <w:r>
        <w:rPr>
          <w:rFonts w:ascii="宋体" w:hAnsi="宋体"/>
          <w:kern w:val="0"/>
          <w:sz w:val="24"/>
        </w:rPr>
        <w:t>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（2）总价合同进度付款申请单的提交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总价合同按</w:t>
      </w:r>
      <w:r>
        <w:rPr>
          <w:rFonts w:hint="eastAsia" w:ascii="宋体" w:hAnsi="宋体"/>
          <w:kern w:val="0"/>
          <w:sz w:val="24"/>
        </w:rPr>
        <w:t>月计量支付的</w:t>
      </w:r>
      <w:r>
        <w:rPr>
          <w:rFonts w:ascii="宋体" w:hAnsi="宋体"/>
          <w:kern w:val="0"/>
          <w:sz w:val="24"/>
        </w:rPr>
        <w:t>，承包人按照第12.3.4项</w:t>
      </w:r>
      <w:r>
        <w:rPr>
          <w:rFonts w:hint="eastAsia" w:ascii="宋体" w:hAnsi="宋体"/>
          <w:kern w:val="0"/>
          <w:sz w:val="24"/>
        </w:rPr>
        <w:t>〔</w:t>
      </w:r>
      <w:r>
        <w:rPr>
          <w:rFonts w:ascii="宋体" w:hAnsi="宋体"/>
          <w:kern w:val="0"/>
          <w:sz w:val="24"/>
        </w:rPr>
        <w:t>总价合同的计量</w:t>
      </w:r>
      <w:r>
        <w:rPr>
          <w:rFonts w:hint="eastAsia" w:ascii="宋体" w:hAnsi="宋体"/>
          <w:kern w:val="0"/>
          <w:sz w:val="24"/>
        </w:rPr>
        <w:t>〕</w:t>
      </w:r>
      <w:r>
        <w:rPr>
          <w:rFonts w:ascii="宋体" w:hAnsi="宋体"/>
          <w:kern w:val="0"/>
          <w:sz w:val="24"/>
        </w:rPr>
        <w:t>约定的时间按月向监理人提交进度付款申请单，并附上已完成工程量报表和有关资料。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总价合同按支付分解表支付的，承包人应按照第12.4.6项</w:t>
      </w:r>
      <w:r>
        <w:rPr>
          <w:rFonts w:hint="eastAsia" w:ascii="宋体" w:hAnsi="宋体"/>
          <w:kern w:val="0"/>
          <w:sz w:val="24"/>
        </w:rPr>
        <w:t>〔</w:t>
      </w:r>
      <w:r>
        <w:rPr>
          <w:rFonts w:ascii="宋体" w:hAnsi="宋体"/>
          <w:kern w:val="0"/>
          <w:sz w:val="24"/>
        </w:rPr>
        <w:t>支付分解表</w:t>
      </w:r>
      <w:r>
        <w:rPr>
          <w:rFonts w:hint="eastAsia" w:ascii="宋体" w:hAnsi="宋体"/>
          <w:kern w:val="0"/>
          <w:sz w:val="24"/>
        </w:rPr>
        <w:t>〕</w:t>
      </w:r>
      <w:r>
        <w:rPr>
          <w:rFonts w:ascii="宋体" w:hAnsi="宋体"/>
          <w:kern w:val="0"/>
          <w:sz w:val="24"/>
        </w:rPr>
        <w:t>及第12.4.2项</w:t>
      </w:r>
      <w:r>
        <w:rPr>
          <w:rFonts w:hint="eastAsia" w:ascii="宋体" w:hAnsi="宋体"/>
          <w:kern w:val="0"/>
          <w:sz w:val="24"/>
        </w:rPr>
        <w:t>〔</w:t>
      </w:r>
      <w:r>
        <w:rPr>
          <w:rFonts w:ascii="宋体" w:hAnsi="宋体"/>
          <w:kern w:val="0"/>
          <w:sz w:val="24"/>
        </w:rPr>
        <w:t>进度付款申请单的编制</w:t>
      </w:r>
      <w:r>
        <w:rPr>
          <w:rFonts w:hint="eastAsia" w:ascii="宋体" w:hAnsi="宋体"/>
          <w:kern w:val="0"/>
          <w:sz w:val="24"/>
        </w:rPr>
        <w:t>〕</w:t>
      </w:r>
      <w:r>
        <w:rPr>
          <w:rFonts w:ascii="宋体" w:hAnsi="宋体"/>
          <w:kern w:val="0"/>
          <w:sz w:val="24"/>
        </w:rPr>
        <w:t>的约定向监理人提交进度付款申请单。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（3）其他价格形式合同的进度付款申请单的提交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合同当事人可在专用合同条款中约定其他价格形式合同的进度付款申请单的编制和提交程序。</w:t>
      </w:r>
    </w:p>
    <w:p>
      <w:pPr>
        <w:autoSpaceDE w:val="0"/>
        <w:autoSpaceDN w:val="0"/>
        <w:adjustRightInd w:val="0"/>
        <w:spacing w:line="360" w:lineRule="exact"/>
        <w:ind w:firstLine="480"/>
        <w:jc w:val="left"/>
        <w:rPr>
          <w:rFonts w:ascii="宋体" w:hAnsi="宋体"/>
          <w:kern w:val="0"/>
          <w:sz w:val="24"/>
        </w:rPr>
      </w:pPr>
      <w:r>
        <w:rPr>
          <w:rFonts w:ascii="宋体" w:hAnsi="宋体"/>
          <w:sz w:val="24"/>
        </w:rPr>
        <w:t>12.4</w:t>
      </w:r>
      <w:r>
        <w:rPr>
          <w:rFonts w:ascii="宋体" w:hAnsi="宋体"/>
          <w:kern w:val="0"/>
          <w:sz w:val="24"/>
        </w:rPr>
        <w:t>.4 进度款审核和支付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kern w:val="0"/>
          <w:sz w:val="24"/>
        </w:rPr>
        <w:t>审批</w:t>
      </w:r>
      <w:r>
        <w:rPr>
          <w:rFonts w:ascii="宋体" w:hAnsi="宋体"/>
          <w:kern w:val="0"/>
          <w:sz w:val="24"/>
        </w:rPr>
        <w:t>且未提出异议的，视为已签发进度款支付证书。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（3）发包人签发进度款支付证书或临时进度款支付证书，不表明发包人已同意、批准或接受了承包人完成的相应部分的工作。</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12.4.5 进度付款的修正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12.4.6 支付分解表</w:t>
      </w:r>
    </w:p>
    <w:p>
      <w:pPr>
        <w:spacing w:line="360" w:lineRule="exact"/>
        <w:ind w:firstLine="480"/>
        <w:jc w:val="left"/>
        <w:rPr>
          <w:rFonts w:ascii="宋体" w:hAnsi="宋体"/>
          <w:kern w:val="0"/>
          <w:sz w:val="24"/>
        </w:rPr>
      </w:pPr>
      <w:r>
        <w:rPr>
          <w:rFonts w:ascii="宋体" w:hAnsi="宋体"/>
          <w:kern w:val="0"/>
          <w:sz w:val="24"/>
        </w:rPr>
        <w:t>1</w:t>
      </w:r>
      <w:r>
        <w:rPr>
          <w:rFonts w:hint="eastAsia" w:ascii="宋体" w:hAnsi="宋体"/>
          <w:kern w:val="0"/>
          <w:sz w:val="24"/>
        </w:rPr>
        <w:t>.</w:t>
      </w:r>
      <w:r>
        <w:rPr>
          <w:rFonts w:ascii="宋体" w:hAnsi="宋体"/>
          <w:kern w:val="0"/>
          <w:sz w:val="24"/>
        </w:rPr>
        <w:t>支付分解表的编制要求</w:t>
      </w:r>
    </w:p>
    <w:p>
      <w:pPr>
        <w:spacing w:line="360" w:lineRule="exact"/>
        <w:ind w:firstLine="480"/>
        <w:jc w:val="left"/>
        <w:rPr>
          <w:rFonts w:ascii="宋体" w:hAnsi="宋体"/>
          <w:kern w:val="0"/>
          <w:sz w:val="24"/>
        </w:rPr>
      </w:pPr>
      <w:r>
        <w:rPr>
          <w:rFonts w:ascii="宋体" w:hAnsi="宋体"/>
          <w:kern w:val="0"/>
          <w:sz w:val="24"/>
        </w:rPr>
        <w:t>（1）支付分解表中所列的每期付款金额，应为第12.4.2项</w:t>
      </w:r>
      <w:r>
        <w:rPr>
          <w:rFonts w:hint="eastAsia" w:ascii="宋体" w:hAnsi="宋体"/>
          <w:kern w:val="0"/>
          <w:sz w:val="24"/>
        </w:rPr>
        <w:t>〔</w:t>
      </w:r>
      <w:r>
        <w:rPr>
          <w:rFonts w:ascii="宋体" w:hAnsi="宋体"/>
          <w:kern w:val="0"/>
          <w:sz w:val="24"/>
        </w:rPr>
        <w:t>进度付款申请单的编制</w:t>
      </w:r>
      <w:r>
        <w:rPr>
          <w:rFonts w:hint="eastAsia" w:ascii="宋体" w:hAnsi="宋体"/>
          <w:kern w:val="0"/>
          <w:sz w:val="24"/>
        </w:rPr>
        <w:t>〕</w:t>
      </w:r>
      <w:r>
        <w:rPr>
          <w:rFonts w:ascii="宋体" w:hAnsi="宋体"/>
          <w:kern w:val="0"/>
          <w:sz w:val="24"/>
        </w:rPr>
        <w:t>第（1）</w:t>
      </w:r>
      <w:r>
        <w:rPr>
          <w:rFonts w:hint="eastAsia" w:ascii="宋体" w:hAnsi="宋体"/>
          <w:kern w:val="0"/>
          <w:sz w:val="24"/>
        </w:rPr>
        <w:t>目</w:t>
      </w:r>
      <w:r>
        <w:rPr>
          <w:rFonts w:ascii="宋体" w:hAnsi="宋体"/>
          <w:kern w:val="0"/>
          <w:sz w:val="24"/>
        </w:rPr>
        <w:t>的估算金额；</w:t>
      </w:r>
    </w:p>
    <w:p>
      <w:pPr>
        <w:spacing w:line="360" w:lineRule="exact"/>
        <w:ind w:firstLine="480"/>
        <w:jc w:val="left"/>
        <w:rPr>
          <w:rFonts w:ascii="宋体" w:hAnsi="宋体"/>
          <w:kern w:val="0"/>
          <w:sz w:val="24"/>
        </w:rPr>
      </w:pPr>
      <w:r>
        <w:rPr>
          <w:rFonts w:ascii="宋体" w:hAnsi="宋体"/>
          <w:kern w:val="0"/>
          <w:sz w:val="24"/>
        </w:rPr>
        <w:t>（2）实际进度与施工进度计划不一致的，合同当事人可按照第4.4款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修改支付分解表；</w:t>
      </w:r>
    </w:p>
    <w:p>
      <w:pPr>
        <w:spacing w:line="360" w:lineRule="exact"/>
        <w:ind w:firstLine="480"/>
        <w:jc w:val="left"/>
        <w:rPr>
          <w:rFonts w:ascii="宋体" w:hAnsi="宋体"/>
          <w:kern w:val="0"/>
          <w:sz w:val="24"/>
        </w:rPr>
      </w:pPr>
      <w:r>
        <w:rPr>
          <w:rFonts w:ascii="宋体" w:hAnsi="宋体"/>
          <w:kern w:val="0"/>
          <w:sz w:val="24"/>
        </w:rPr>
        <w:t>（3）不采用支付分解表的，承包人应向发包人和监理人提交按季度编制的支付估算分解表，用于支付参考。</w:t>
      </w:r>
    </w:p>
    <w:p>
      <w:pPr>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rPr>
        <w:t>.</w:t>
      </w:r>
      <w:r>
        <w:rPr>
          <w:rFonts w:ascii="宋体" w:hAnsi="宋体"/>
          <w:kern w:val="0"/>
          <w:sz w:val="24"/>
        </w:rPr>
        <w:t>总价合同支付分解表的编制与审批</w:t>
      </w:r>
    </w:p>
    <w:p>
      <w:pPr>
        <w:spacing w:line="360" w:lineRule="exact"/>
        <w:ind w:firstLine="480"/>
        <w:jc w:val="left"/>
        <w:rPr>
          <w:rFonts w:ascii="宋体" w:hAnsi="宋体"/>
          <w:kern w:val="0"/>
          <w:sz w:val="24"/>
        </w:rPr>
      </w:pPr>
      <w:r>
        <w:rPr>
          <w:rFonts w:ascii="宋体" w:hAnsi="宋体"/>
          <w:kern w:val="0"/>
          <w:sz w:val="24"/>
        </w:rPr>
        <w:t>（1）除专用合同条款另有约定外，承包人应根据第7.2款</w:t>
      </w:r>
      <w:r>
        <w:rPr>
          <w:rFonts w:hint="eastAsia" w:ascii="宋体" w:hAnsi="宋体"/>
          <w:kern w:val="0"/>
          <w:sz w:val="24"/>
        </w:rPr>
        <w:t>〔</w:t>
      </w:r>
      <w:r>
        <w:rPr>
          <w:rFonts w:ascii="宋体" w:hAnsi="宋体"/>
          <w:kern w:val="0"/>
          <w:sz w:val="24"/>
        </w:rPr>
        <w:t>施工进度计划</w:t>
      </w:r>
      <w:r>
        <w:rPr>
          <w:rFonts w:hint="eastAsia" w:ascii="宋体" w:hAnsi="宋体"/>
          <w:kern w:val="0"/>
          <w:sz w:val="24"/>
        </w:rPr>
        <w:t>〕</w:t>
      </w:r>
      <w:r>
        <w:rPr>
          <w:rFonts w:ascii="宋体" w:hAnsi="宋体"/>
          <w:kern w:val="0"/>
          <w:sz w:val="24"/>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exact"/>
        <w:ind w:firstLine="480"/>
        <w:jc w:val="left"/>
        <w:rPr>
          <w:rFonts w:ascii="宋体" w:hAnsi="宋体"/>
          <w:kern w:val="0"/>
          <w:sz w:val="24"/>
        </w:rPr>
      </w:pPr>
      <w:r>
        <w:rPr>
          <w:rFonts w:ascii="宋体" w:hAnsi="宋体"/>
          <w:kern w:val="0"/>
          <w:sz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exact"/>
        <w:ind w:firstLine="480"/>
        <w:jc w:val="left"/>
        <w:rPr>
          <w:rFonts w:ascii="宋体" w:hAnsi="宋体"/>
          <w:kern w:val="0"/>
          <w:sz w:val="24"/>
        </w:rPr>
      </w:pPr>
      <w:r>
        <w:rPr>
          <w:rFonts w:ascii="宋体" w:hAnsi="宋体"/>
          <w:kern w:val="0"/>
          <w:sz w:val="24"/>
        </w:rPr>
        <w:t xml:space="preserve">    （3）发包人逾期未完成支付分解表</w:t>
      </w:r>
      <w:r>
        <w:rPr>
          <w:rFonts w:hint="eastAsia" w:ascii="宋体" w:hAnsi="宋体"/>
          <w:kern w:val="0"/>
          <w:sz w:val="24"/>
        </w:rPr>
        <w:t>审批</w:t>
      </w:r>
      <w:r>
        <w:rPr>
          <w:rFonts w:ascii="宋体" w:hAnsi="宋体"/>
          <w:kern w:val="0"/>
          <w:sz w:val="24"/>
        </w:rPr>
        <w:t>的，也未及时要求承包人进行修正和提供补充资料的，则承包人提交的支付分解表视为已经获得发包人批准。</w:t>
      </w:r>
    </w:p>
    <w:p>
      <w:pPr>
        <w:spacing w:line="360" w:lineRule="exact"/>
        <w:ind w:firstLine="480"/>
        <w:jc w:val="left"/>
        <w:rPr>
          <w:rFonts w:ascii="宋体" w:hAnsi="宋体"/>
          <w:kern w:val="0"/>
          <w:sz w:val="24"/>
        </w:rPr>
      </w:pPr>
      <w:r>
        <w:rPr>
          <w:rFonts w:ascii="宋体" w:hAnsi="宋体"/>
          <w:kern w:val="0"/>
          <w:sz w:val="24"/>
        </w:rPr>
        <w:t>3</w:t>
      </w:r>
      <w:r>
        <w:rPr>
          <w:rFonts w:hint="eastAsia" w:ascii="宋体" w:hAnsi="宋体"/>
          <w:kern w:val="0"/>
          <w:sz w:val="24"/>
        </w:rPr>
        <w:t>.</w:t>
      </w:r>
      <w:r>
        <w:rPr>
          <w:rFonts w:ascii="宋体" w:hAnsi="宋体"/>
          <w:kern w:val="0"/>
          <w:sz w:val="24"/>
        </w:rPr>
        <w:t>单价合同的总价项目支付分解表的编制与审批</w:t>
      </w:r>
    </w:p>
    <w:p>
      <w:pPr>
        <w:spacing w:line="360" w:lineRule="exact"/>
        <w:ind w:firstLine="480"/>
        <w:jc w:val="left"/>
        <w:rPr>
          <w:rFonts w:ascii="宋体" w:hAnsi="宋体"/>
          <w:kern w:val="0"/>
          <w:sz w:val="24"/>
        </w:rPr>
      </w:pPr>
      <w:r>
        <w:rPr>
          <w:rFonts w:ascii="宋体" w:hAnsi="宋体"/>
          <w:kern w:val="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120" w:after="120"/>
        <w:ind w:firstLine="420"/>
        <w:rPr>
          <w:bCs w:val="0"/>
          <w:szCs w:val="24"/>
        </w:rPr>
      </w:pPr>
      <w:bookmarkStart w:id="313" w:name="_Toc18683225"/>
      <w:r>
        <w:rPr>
          <w:bCs w:val="0"/>
          <w:szCs w:val="24"/>
        </w:rPr>
        <w:t>12.5支付账户</w:t>
      </w:r>
      <w:bookmarkEnd w:id="313"/>
    </w:p>
    <w:p>
      <w:pPr>
        <w:spacing w:line="360" w:lineRule="exact"/>
        <w:ind w:firstLine="480"/>
        <w:jc w:val="left"/>
        <w:rPr>
          <w:rFonts w:ascii="宋体" w:hAnsi="宋体"/>
          <w:kern w:val="0"/>
          <w:sz w:val="24"/>
        </w:rPr>
      </w:pPr>
      <w:r>
        <w:rPr>
          <w:rFonts w:ascii="宋体" w:hAnsi="宋体"/>
          <w:kern w:val="0"/>
          <w:sz w:val="24"/>
        </w:rPr>
        <w:t>发包人应将合同价款支付至合同协议书中约定的承包人账户。</w:t>
      </w:r>
    </w:p>
    <w:p>
      <w:pPr>
        <w:pStyle w:val="6"/>
        <w:ind w:left="103" w:leftChars="0" w:firstLineChars="0"/>
      </w:pPr>
      <w:bookmarkStart w:id="314" w:name="_Toc18683226"/>
      <w:bookmarkStart w:id="315" w:name="_Toc296503106"/>
      <w:bookmarkStart w:id="316" w:name="_Toc296346607"/>
      <w:bookmarkStart w:id="317" w:name="_Toc337558804"/>
      <w:bookmarkStart w:id="318" w:name="_Toc322522574"/>
      <w:r>
        <w:t>13. 验收和工程试车</w:t>
      </w:r>
      <w:bookmarkEnd w:id="314"/>
    </w:p>
    <w:bookmarkEnd w:id="315"/>
    <w:bookmarkEnd w:id="316"/>
    <w:bookmarkEnd w:id="317"/>
    <w:bookmarkEnd w:id="318"/>
    <w:p>
      <w:pPr>
        <w:pStyle w:val="7"/>
        <w:spacing w:before="120" w:after="120"/>
        <w:ind w:firstLine="420"/>
        <w:rPr>
          <w:bCs w:val="0"/>
          <w:szCs w:val="24"/>
        </w:rPr>
      </w:pPr>
      <w:bookmarkStart w:id="319" w:name="_Toc18683227"/>
      <w:bookmarkStart w:id="320" w:name="_Toc337558805"/>
      <w:bookmarkStart w:id="321" w:name="_Toc296346611"/>
      <w:bookmarkStart w:id="322" w:name="_Toc296503110"/>
      <w:r>
        <w:rPr>
          <w:bCs w:val="0"/>
          <w:szCs w:val="24"/>
        </w:rPr>
        <w:t>13.1分部分项工程验收</w:t>
      </w:r>
      <w:bookmarkEnd w:id="319"/>
    </w:p>
    <w:bookmarkEnd w:id="320"/>
    <w:p>
      <w:pPr>
        <w:spacing w:line="360" w:lineRule="exact"/>
        <w:ind w:firstLine="480"/>
        <w:rPr>
          <w:rFonts w:ascii="宋体" w:hAnsi="宋体"/>
          <w:sz w:val="24"/>
        </w:rPr>
      </w:pPr>
      <w:r>
        <w:rPr>
          <w:rFonts w:ascii="宋体" w:hAnsi="宋体"/>
          <w:sz w:val="24"/>
        </w:rPr>
        <w:t>13.1.1 分部分项工程质量应符合国家有关工程施工验收规范、标准及合同约定，承包人应按照施工组织设计的要求完成分部分项工程施工。</w:t>
      </w:r>
    </w:p>
    <w:p>
      <w:pPr>
        <w:spacing w:line="360" w:lineRule="exact"/>
        <w:ind w:firstLine="480"/>
        <w:rPr>
          <w:rFonts w:ascii="宋体" w:hAnsi="宋体"/>
          <w:sz w:val="24"/>
        </w:rPr>
      </w:pPr>
      <w:r>
        <w:rPr>
          <w:rFonts w:ascii="宋体" w:hAnsi="宋体"/>
          <w:sz w:val="24"/>
        </w:rPr>
        <w:t>13.1.2 除专用合同条款另有约定外，分部分项工程经承包人自检合格并具备验收条件的，承包人应提前48小时通知监理人进行验收。</w:t>
      </w:r>
      <w:r>
        <w:rPr>
          <w:rFonts w:ascii="宋体" w:hAnsi="宋体"/>
          <w:kern w:val="0"/>
          <w:sz w:val="24"/>
        </w:rPr>
        <w:t>监理人不能按时进行验收的，应在验收前24小时向承包人提交书面延期要求，但延期不能超过48小时。监理人未按时进行验收，也未提出延期要求的，承包人有权自行验收，监理人应认可验收结果。</w:t>
      </w:r>
      <w:r>
        <w:rPr>
          <w:rFonts w:ascii="宋体" w:hAnsi="宋体"/>
          <w:sz w:val="24"/>
        </w:rPr>
        <w:t>分部分项工程未经验收的，不得进入下一道工序施工。</w:t>
      </w:r>
    </w:p>
    <w:p>
      <w:pPr>
        <w:spacing w:line="360" w:lineRule="exact"/>
        <w:ind w:firstLine="480"/>
        <w:rPr>
          <w:rFonts w:ascii="宋体" w:hAnsi="宋体"/>
          <w:sz w:val="24"/>
        </w:rPr>
      </w:pPr>
      <w:r>
        <w:rPr>
          <w:rFonts w:ascii="宋体" w:hAnsi="宋体"/>
          <w:sz w:val="24"/>
        </w:rPr>
        <w:t>分部分项工程的验收资料应当作为竣工资料的组成部分。</w:t>
      </w:r>
    </w:p>
    <w:p>
      <w:pPr>
        <w:pStyle w:val="7"/>
        <w:spacing w:before="120" w:after="120"/>
        <w:ind w:firstLine="420"/>
        <w:rPr>
          <w:bCs w:val="0"/>
          <w:szCs w:val="24"/>
        </w:rPr>
      </w:pPr>
      <w:bookmarkStart w:id="323" w:name="_Toc18683228"/>
      <w:bookmarkStart w:id="324" w:name="_Toc337558806"/>
      <w:r>
        <w:rPr>
          <w:bCs w:val="0"/>
          <w:szCs w:val="24"/>
        </w:rPr>
        <w:t>13.2竣工验收</w:t>
      </w:r>
      <w:bookmarkEnd w:id="323"/>
    </w:p>
    <w:bookmarkEnd w:id="321"/>
    <w:bookmarkEnd w:id="322"/>
    <w:bookmarkEnd w:id="324"/>
    <w:p>
      <w:pPr>
        <w:spacing w:line="360" w:lineRule="exact"/>
        <w:ind w:firstLine="480"/>
        <w:jc w:val="left"/>
        <w:rPr>
          <w:rFonts w:ascii="宋体" w:hAnsi="宋体"/>
          <w:kern w:val="0"/>
          <w:sz w:val="24"/>
        </w:rPr>
      </w:pPr>
      <w:r>
        <w:rPr>
          <w:rFonts w:ascii="宋体" w:hAnsi="宋体"/>
          <w:kern w:val="0"/>
          <w:sz w:val="24"/>
        </w:rPr>
        <w:t>13.2.1竣工验收条件</w:t>
      </w:r>
    </w:p>
    <w:p>
      <w:pPr>
        <w:spacing w:line="360" w:lineRule="exact"/>
        <w:ind w:firstLine="480"/>
        <w:jc w:val="left"/>
        <w:rPr>
          <w:rFonts w:ascii="宋体" w:hAnsi="宋体"/>
          <w:kern w:val="0"/>
          <w:sz w:val="24"/>
        </w:rPr>
      </w:pPr>
      <w:r>
        <w:rPr>
          <w:rFonts w:ascii="宋体" w:hAnsi="宋体"/>
          <w:kern w:val="0"/>
          <w:sz w:val="24"/>
        </w:rPr>
        <w:t>工程具备以下条件的，承包人可以申请竣工验收：</w:t>
      </w:r>
    </w:p>
    <w:p>
      <w:pPr>
        <w:spacing w:line="360" w:lineRule="exact"/>
        <w:ind w:firstLine="480"/>
        <w:jc w:val="left"/>
        <w:rPr>
          <w:rFonts w:ascii="宋体" w:hAnsi="宋体"/>
          <w:kern w:val="0"/>
          <w:sz w:val="24"/>
        </w:rPr>
      </w:pPr>
      <w:r>
        <w:rPr>
          <w:rFonts w:ascii="宋体" w:hAnsi="宋体"/>
          <w:kern w:val="0"/>
          <w:sz w:val="24"/>
        </w:rPr>
        <w:t>（1）除发包人同意的甩项</w:t>
      </w:r>
      <w:r>
        <w:rPr>
          <w:rFonts w:hint="eastAsia" w:ascii="宋体" w:hAnsi="宋体"/>
          <w:kern w:val="0"/>
          <w:sz w:val="24"/>
        </w:rPr>
        <w:t>工作</w:t>
      </w:r>
      <w:r>
        <w:rPr>
          <w:rFonts w:ascii="宋体" w:hAnsi="宋体"/>
          <w:kern w:val="0"/>
          <w:sz w:val="24"/>
        </w:rPr>
        <w:t>和缺陷修补工作外，合同范围内的全部工程以及有关工作，包括合同要求的试验、试运行以及检验均已完成，并符合合同要求；</w:t>
      </w:r>
    </w:p>
    <w:p>
      <w:pPr>
        <w:spacing w:line="360" w:lineRule="exact"/>
        <w:ind w:firstLine="480"/>
        <w:jc w:val="left"/>
        <w:rPr>
          <w:rFonts w:ascii="宋体" w:hAnsi="宋体"/>
          <w:kern w:val="0"/>
          <w:sz w:val="24"/>
        </w:rPr>
      </w:pPr>
      <w:r>
        <w:rPr>
          <w:rFonts w:ascii="宋体" w:hAnsi="宋体"/>
          <w:kern w:val="0"/>
          <w:sz w:val="24"/>
        </w:rPr>
        <w:t>（2）已按合同约定编制了甩项</w:t>
      </w:r>
      <w:r>
        <w:rPr>
          <w:rFonts w:hint="eastAsia" w:ascii="宋体" w:hAnsi="宋体"/>
          <w:kern w:val="0"/>
          <w:sz w:val="24"/>
        </w:rPr>
        <w:t>工作</w:t>
      </w:r>
      <w:r>
        <w:rPr>
          <w:rFonts w:ascii="宋体" w:hAnsi="宋体"/>
          <w:kern w:val="0"/>
          <w:sz w:val="24"/>
        </w:rPr>
        <w:t>和缺陷修补工作清单以及相应的施工计划；</w:t>
      </w:r>
    </w:p>
    <w:p>
      <w:pPr>
        <w:spacing w:line="360" w:lineRule="exact"/>
        <w:ind w:firstLine="480"/>
        <w:jc w:val="left"/>
        <w:rPr>
          <w:rFonts w:ascii="宋体" w:hAnsi="宋体"/>
          <w:kern w:val="0"/>
          <w:sz w:val="24"/>
        </w:rPr>
      </w:pPr>
      <w:r>
        <w:rPr>
          <w:rFonts w:ascii="宋体" w:hAnsi="宋体"/>
          <w:kern w:val="0"/>
          <w:sz w:val="24"/>
        </w:rPr>
        <w:t>（3）已按合同约定的内容和份数备齐竣工资料。</w:t>
      </w:r>
    </w:p>
    <w:p>
      <w:pPr>
        <w:spacing w:line="360" w:lineRule="exact"/>
        <w:ind w:firstLine="480"/>
        <w:jc w:val="left"/>
        <w:rPr>
          <w:rFonts w:ascii="宋体" w:hAnsi="宋体"/>
          <w:kern w:val="0"/>
          <w:sz w:val="24"/>
        </w:rPr>
      </w:pPr>
      <w:r>
        <w:rPr>
          <w:rFonts w:ascii="宋体" w:hAnsi="宋体"/>
          <w:kern w:val="0"/>
          <w:sz w:val="24"/>
        </w:rPr>
        <w:t>13.2.2竣工验收程序</w:t>
      </w:r>
    </w:p>
    <w:p>
      <w:pPr>
        <w:spacing w:line="360" w:lineRule="exact"/>
        <w:ind w:firstLine="480"/>
        <w:jc w:val="left"/>
        <w:rPr>
          <w:rFonts w:ascii="宋体" w:hAnsi="宋体"/>
          <w:kern w:val="0"/>
          <w:sz w:val="24"/>
        </w:rPr>
      </w:pPr>
      <w:r>
        <w:rPr>
          <w:rFonts w:ascii="宋体" w:hAnsi="宋体"/>
          <w:kern w:val="0"/>
          <w:sz w:val="24"/>
        </w:rPr>
        <w:t>除专用合同条款另有约定外，承包人申请竣工验收的，应当按照以下程序进行：</w:t>
      </w:r>
    </w:p>
    <w:p>
      <w:pPr>
        <w:spacing w:line="360" w:lineRule="exact"/>
        <w:ind w:firstLine="480"/>
        <w:jc w:val="left"/>
        <w:rPr>
          <w:rFonts w:ascii="宋体" w:hAnsi="宋体"/>
          <w:kern w:val="0"/>
          <w:sz w:val="24"/>
        </w:rPr>
      </w:pPr>
      <w:r>
        <w:rPr>
          <w:rFonts w:ascii="宋体" w:hAnsi="宋体"/>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exact"/>
        <w:ind w:firstLine="480"/>
        <w:jc w:val="left"/>
        <w:rPr>
          <w:rFonts w:ascii="宋体" w:hAnsi="宋体"/>
          <w:kern w:val="0"/>
          <w:sz w:val="24"/>
        </w:rPr>
      </w:pPr>
      <w:r>
        <w:rPr>
          <w:rFonts w:ascii="宋体" w:hAnsi="宋体"/>
          <w:kern w:val="0"/>
          <w:sz w:val="24"/>
        </w:rPr>
        <w:t>（2）监理人审查后认为已具备竣工验收条件的，应将竣工验收申请报告提交发包人，发包人应在收到</w:t>
      </w:r>
      <w:r>
        <w:rPr>
          <w:rFonts w:hint="eastAsia" w:ascii="宋体" w:hAnsi="宋体"/>
          <w:kern w:val="0"/>
          <w:sz w:val="24"/>
        </w:rPr>
        <w:t>经</w:t>
      </w:r>
      <w:r>
        <w:rPr>
          <w:rFonts w:ascii="宋体" w:hAnsi="宋体"/>
          <w:kern w:val="0"/>
          <w:sz w:val="24"/>
        </w:rPr>
        <w:t>监理人审核的竣工验收申请报告后28天内</w:t>
      </w:r>
      <w:r>
        <w:rPr>
          <w:rFonts w:hint="eastAsia" w:ascii="宋体" w:hAnsi="宋体"/>
          <w:kern w:val="0"/>
          <w:sz w:val="24"/>
        </w:rPr>
        <w:t>审批</w:t>
      </w:r>
      <w:r>
        <w:rPr>
          <w:rFonts w:ascii="宋体" w:hAnsi="宋体"/>
          <w:kern w:val="0"/>
          <w:sz w:val="24"/>
        </w:rPr>
        <w:t>完毕并组织监理人、承包人、设计人等相关单位完成竣工验收。</w:t>
      </w:r>
    </w:p>
    <w:p>
      <w:pPr>
        <w:spacing w:line="360" w:lineRule="exact"/>
        <w:ind w:firstLine="480"/>
        <w:jc w:val="left"/>
        <w:rPr>
          <w:rFonts w:ascii="宋体" w:hAnsi="宋体"/>
          <w:kern w:val="0"/>
          <w:sz w:val="24"/>
        </w:rPr>
      </w:pPr>
      <w:r>
        <w:rPr>
          <w:rFonts w:ascii="宋体" w:hAnsi="宋体"/>
          <w:kern w:val="0"/>
          <w:sz w:val="24"/>
        </w:rPr>
        <w:t>（3）竣工验收合格的，发包人应在验收合格后14天内向承包人签发工程接收证书。发包人无正当理由逾期不颁发工程接收证书的，自验收合格后第15天起视为已颁发工程接收证书。</w:t>
      </w:r>
    </w:p>
    <w:p>
      <w:pPr>
        <w:spacing w:line="360" w:lineRule="exact"/>
        <w:ind w:firstLine="480"/>
        <w:jc w:val="left"/>
        <w:rPr>
          <w:rFonts w:ascii="宋体" w:hAnsi="宋体"/>
          <w:kern w:val="0"/>
          <w:sz w:val="24"/>
        </w:rPr>
      </w:pPr>
      <w:r>
        <w:rPr>
          <w:rFonts w:ascii="宋体" w:hAnsi="宋体"/>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exact"/>
        <w:ind w:firstLine="480"/>
        <w:jc w:val="left"/>
        <w:rPr>
          <w:rFonts w:ascii="宋体" w:hAnsi="宋体"/>
          <w:kern w:val="0"/>
          <w:sz w:val="24"/>
        </w:rPr>
      </w:pPr>
      <w:r>
        <w:rPr>
          <w:rFonts w:ascii="宋体" w:hAnsi="宋体"/>
          <w:kern w:val="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exact"/>
        <w:ind w:firstLine="480"/>
        <w:jc w:val="left"/>
        <w:rPr>
          <w:rFonts w:ascii="宋体" w:hAnsi="宋体"/>
          <w:kern w:val="0"/>
          <w:sz w:val="24"/>
        </w:rPr>
      </w:pPr>
      <w:r>
        <w:rPr>
          <w:rFonts w:ascii="宋体" w:hAnsi="宋体"/>
          <w:kern w:val="0"/>
          <w:sz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exact"/>
        <w:ind w:firstLine="480"/>
        <w:jc w:val="left"/>
        <w:rPr>
          <w:rFonts w:ascii="宋体" w:hAnsi="宋体"/>
          <w:kern w:val="0"/>
          <w:sz w:val="24"/>
        </w:rPr>
      </w:pPr>
      <w:r>
        <w:rPr>
          <w:rFonts w:ascii="宋体" w:hAnsi="宋体"/>
          <w:kern w:val="0"/>
          <w:sz w:val="24"/>
        </w:rPr>
        <w:t>13.2.3竣工日期</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kern w:val="0"/>
          <w:sz w:val="24"/>
        </w:rPr>
        <w:t>竣工</w:t>
      </w:r>
      <w:r>
        <w:rPr>
          <w:rFonts w:ascii="宋体" w:hAnsi="宋体"/>
          <w:kern w:val="0"/>
          <w:sz w:val="24"/>
        </w:rPr>
        <w:t>验收</w:t>
      </w:r>
      <w:r>
        <w:rPr>
          <w:rFonts w:hint="eastAsia" w:ascii="宋体" w:hAnsi="宋体"/>
          <w:kern w:val="0"/>
          <w:sz w:val="24"/>
        </w:rPr>
        <w:t>，或完成竣工验收不予签发工程接收证书</w:t>
      </w:r>
      <w:r>
        <w:rPr>
          <w:rFonts w:ascii="宋体" w:hAnsi="宋体"/>
          <w:kern w:val="0"/>
          <w:sz w:val="24"/>
        </w:rPr>
        <w:t>的，以提交竣工验</w:t>
      </w:r>
      <w:bookmarkStart w:id="325" w:name="#go14"/>
      <w:bookmarkEnd w:id="325"/>
      <w:r>
        <w:rPr>
          <w:rFonts w:ascii="宋体" w:hAnsi="宋体"/>
          <w:kern w:val="0"/>
          <w:sz w:val="24"/>
        </w:rPr>
        <w:t>收申请报告的日期为实际竣工日期；工程未经竣工验收，发包人擅自使用的，以转移占有工程之日为实际竣工日期。</w:t>
      </w:r>
    </w:p>
    <w:p>
      <w:pPr>
        <w:spacing w:line="360" w:lineRule="exact"/>
        <w:ind w:firstLine="480"/>
        <w:jc w:val="left"/>
        <w:rPr>
          <w:rFonts w:ascii="宋体" w:hAnsi="宋体"/>
          <w:kern w:val="0"/>
          <w:sz w:val="24"/>
        </w:rPr>
      </w:pPr>
      <w:r>
        <w:rPr>
          <w:rFonts w:ascii="宋体" w:hAnsi="宋体"/>
          <w:kern w:val="0"/>
          <w:sz w:val="24"/>
        </w:rPr>
        <w:t>13.2.4 拒绝接收全部或部分工程</w:t>
      </w:r>
    </w:p>
    <w:p>
      <w:pPr>
        <w:spacing w:line="360" w:lineRule="exact"/>
        <w:ind w:firstLine="480"/>
        <w:jc w:val="left"/>
        <w:rPr>
          <w:rFonts w:ascii="宋体" w:hAnsi="宋体"/>
          <w:kern w:val="0"/>
          <w:sz w:val="24"/>
        </w:rPr>
      </w:pPr>
      <w:r>
        <w:rPr>
          <w:rFonts w:ascii="宋体" w:hAnsi="宋体"/>
          <w:kern w:val="0"/>
          <w:sz w:val="24"/>
        </w:rPr>
        <w:t>对于竣工验收不合格的工程，承包人完成整改后，</w:t>
      </w:r>
      <w:r>
        <w:rPr>
          <w:rFonts w:hint="eastAsia" w:ascii="宋体" w:hAnsi="宋体"/>
          <w:kern w:val="0"/>
          <w:sz w:val="24"/>
        </w:rPr>
        <w:t>应当</w:t>
      </w:r>
      <w:r>
        <w:rPr>
          <w:rFonts w:ascii="宋体" w:hAnsi="宋体"/>
          <w:kern w:val="0"/>
          <w:sz w:val="24"/>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13.2.5 移交、接收全部与部分工程</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除专用合同条款另有约定外，</w:t>
      </w:r>
      <w:r>
        <w:rPr>
          <w:rFonts w:ascii="宋体" w:hAnsi="宋体"/>
          <w:kern w:val="0"/>
          <w:sz w:val="24"/>
        </w:rPr>
        <w:t>合同当事人应当在颁发工程接收证书</w:t>
      </w:r>
      <w:r>
        <w:rPr>
          <w:rFonts w:hint="eastAsia" w:ascii="宋体" w:hAnsi="宋体"/>
          <w:kern w:val="0"/>
          <w:sz w:val="24"/>
        </w:rPr>
        <w:t>后7天内</w:t>
      </w:r>
      <w:r>
        <w:rPr>
          <w:rFonts w:ascii="宋体" w:hAnsi="宋体"/>
          <w:kern w:val="0"/>
          <w:sz w:val="24"/>
        </w:rPr>
        <w:t>完成工程的移交。</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发包人无正当理由不接收工程的，发包人自</w:t>
      </w:r>
      <w:r>
        <w:rPr>
          <w:rFonts w:hint="eastAsia" w:ascii="宋体" w:hAnsi="宋体"/>
          <w:kern w:val="0"/>
          <w:sz w:val="24"/>
        </w:rPr>
        <w:t>应当接收工程</w:t>
      </w:r>
      <w:r>
        <w:rPr>
          <w:rFonts w:ascii="宋体" w:hAnsi="宋体"/>
          <w:kern w:val="0"/>
          <w:sz w:val="24"/>
        </w:rPr>
        <w:t>之日起，承担工程照管、成品保护、保管等与工程有关的各项费用</w:t>
      </w:r>
      <w:r>
        <w:rPr>
          <w:rFonts w:hint="eastAsia" w:ascii="宋体" w:hAnsi="宋体"/>
          <w:kern w:val="0"/>
          <w:sz w:val="24"/>
        </w:rPr>
        <w:t>，合同当事人可以在专用合同条款中另行约定发包人逾期接收工程的违约责任</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承包人无正当理由不移交工程的，</w:t>
      </w:r>
      <w:r>
        <w:rPr>
          <w:rFonts w:hint="eastAsia" w:ascii="宋体" w:hAnsi="宋体"/>
          <w:kern w:val="0"/>
          <w:sz w:val="24"/>
        </w:rPr>
        <w:t>承包人应承担</w:t>
      </w:r>
      <w:r>
        <w:rPr>
          <w:rFonts w:ascii="宋体" w:hAnsi="宋体"/>
          <w:kern w:val="0"/>
          <w:sz w:val="24"/>
        </w:rPr>
        <w:t>工程照管、成品保护、保管等与工程有关的各项费用</w:t>
      </w:r>
      <w:r>
        <w:rPr>
          <w:rFonts w:hint="eastAsia" w:ascii="宋体" w:hAnsi="宋体"/>
          <w:kern w:val="0"/>
          <w:sz w:val="24"/>
        </w:rPr>
        <w:t>，合同当事人可以在专用合同条款中另行约定承包人无正当理由不移交工程的违约责任</w:t>
      </w:r>
      <w:r>
        <w:rPr>
          <w:rFonts w:ascii="宋体" w:hAnsi="宋体"/>
          <w:kern w:val="0"/>
          <w:sz w:val="24"/>
        </w:rPr>
        <w:t>。</w:t>
      </w:r>
    </w:p>
    <w:p>
      <w:pPr>
        <w:pStyle w:val="7"/>
        <w:spacing w:before="120" w:after="120"/>
        <w:ind w:firstLine="420"/>
        <w:rPr>
          <w:bCs w:val="0"/>
          <w:szCs w:val="24"/>
        </w:rPr>
      </w:pPr>
      <w:bookmarkStart w:id="326" w:name="_Toc18683229"/>
      <w:bookmarkStart w:id="327" w:name="_Toc296346612"/>
      <w:bookmarkStart w:id="328" w:name="_Toc296503111"/>
      <w:bookmarkStart w:id="329" w:name="_Toc337558807"/>
      <w:r>
        <w:rPr>
          <w:bCs w:val="0"/>
          <w:szCs w:val="24"/>
        </w:rPr>
        <w:t>13.3工程试车</w:t>
      </w:r>
      <w:bookmarkEnd w:id="326"/>
    </w:p>
    <w:bookmarkEnd w:id="327"/>
    <w:bookmarkEnd w:id="328"/>
    <w:bookmarkEnd w:id="329"/>
    <w:p>
      <w:pPr>
        <w:spacing w:line="360" w:lineRule="exact"/>
        <w:ind w:firstLine="480"/>
        <w:jc w:val="left"/>
        <w:rPr>
          <w:rFonts w:ascii="宋体" w:hAnsi="宋体"/>
          <w:kern w:val="0"/>
          <w:sz w:val="24"/>
        </w:rPr>
      </w:pPr>
      <w:r>
        <w:rPr>
          <w:rFonts w:ascii="宋体" w:hAnsi="宋体"/>
          <w:kern w:val="0"/>
          <w:sz w:val="24"/>
        </w:rPr>
        <w:t>13.3.1试车程序</w:t>
      </w:r>
    </w:p>
    <w:p>
      <w:pPr>
        <w:spacing w:line="360" w:lineRule="exact"/>
        <w:ind w:firstLine="480"/>
        <w:jc w:val="left"/>
        <w:rPr>
          <w:rFonts w:ascii="宋体" w:hAnsi="宋体"/>
          <w:kern w:val="0"/>
          <w:sz w:val="24"/>
        </w:rPr>
      </w:pPr>
      <w:r>
        <w:rPr>
          <w:rFonts w:ascii="宋体" w:hAnsi="宋体"/>
          <w:kern w:val="0"/>
          <w:sz w:val="24"/>
        </w:rPr>
        <w:t>工程需要试车的，除专用合同条款另有约定外，试车内容应与承包人承包范围相一致，试车费用由承包人承担。工程试车应按如下程序进行：</w:t>
      </w:r>
    </w:p>
    <w:p>
      <w:pPr>
        <w:spacing w:line="360" w:lineRule="exact"/>
        <w:ind w:firstLine="480"/>
        <w:jc w:val="left"/>
        <w:rPr>
          <w:rFonts w:ascii="宋体" w:hAnsi="宋体"/>
          <w:kern w:val="0"/>
          <w:sz w:val="24"/>
        </w:rPr>
      </w:pPr>
      <w:r>
        <w:rPr>
          <w:rFonts w:ascii="宋体" w:hAnsi="宋体"/>
          <w:kern w:val="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exact"/>
        <w:ind w:firstLine="480"/>
        <w:jc w:val="left"/>
        <w:rPr>
          <w:rFonts w:ascii="宋体" w:hAnsi="宋体"/>
          <w:kern w:val="0"/>
          <w:sz w:val="24"/>
        </w:rPr>
      </w:pPr>
      <w:r>
        <w:rPr>
          <w:rFonts w:ascii="宋体" w:hAnsi="宋体"/>
          <w:kern w:val="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exact"/>
        <w:ind w:firstLine="480"/>
        <w:jc w:val="left"/>
        <w:rPr>
          <w:rFonts w:ascii="宋体" w:hAnsi="宋体"/>
          <w:kern w:val="0"/>
          <w:sz w:val="24"/>
        </w:rPr>
      </w:pPr>
      <w:r>
        <w:rPr>
          <w:rFonts w:ascii="宋体" w:hAnsi="宋体"/>
          <w:kern w:val="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exact"/>
        <w:ind w:firstLine="480"/>
        <w:jc w:val="left"/>
        <w:rPr>
          <w:rFonts w:ascii="宋体" w:hAnsi="宋体"/>
          <w:kern w:val="0"/>
          <w:sz w:val="24"/>
        </w:rPr>
      </w:pPr>
      <w:r>
        <w:rPr>
          <w:rFonts w:ascii="宋体" w:hAnsi="宋体"/>
          <w:kern w:val="0"/>
          <w:sz w:val="24"/>
        </w:rPr>
        <w:t>13.3.2 试车中的责任</w:t>
      </w:r>
    </w:p>
    <w:p>
      <w:pPr>
        <w:spacing w:line="360" w:lineRule="exact"/>
        <w:ind w:firstLine="480"/>
        <w:jc w:val="left"/>
        <w:rPr>
          <w:rFonts w:ascii="宋体" w:hAnsi="宋体"/>
          <w:kern w:val="0"/>
          <w:sz w:val="24"/>
        </w:rPr>
      </w:pPr>
      <w:r>
        <w:rPr>
          <w:rFonts w:ascii="宋体" w:hAnsi="宋体"/>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exact"/>
        <w:ind w:firstLine="480"/>
        <w:jc w:val="left"/>
        <w:rPr>
          <w:rFonts w:ascii="宋体" w:hAnsi="宋体"/>
          <w:kern w:val="0"/>
          <w:sz w:val="24"/>
        </w:rPr>
      </w:pPr>
      <w:r>
        <w:rPr>
          <w:rFonts w:ascii="宋体" w:hAnsi="宋体"/>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exact"/>
        <w:ind w:firstLine="480"/>
        <w:jc w:val="left"/>
        <w:rPr>
          <w:rFonts w:ascii="宋体" w:hAnsi="宋体"/>
          <w:kern w:val="0"/>
          <w:sz w:val="24"/>
        </w:rPr>
      </w:pPr>
      <w:r>
        <w:rPr>
          <w:rFonts w:ascii="宋体" w:hAnsi="宋体"/>
          <w:kern w:val="0"/>
          <w:sz w:val="24"/>
        </w:rPr>
        <w:t>13.3.3 投料试车</w:t>
      </w:r>
    </w:p>
    <w:p>
      <w:pPr>
        <w:spacing w:line="360" w:lineRule="exact"/>
        <w:ind w:firstLine="480"/>
        <w:jc w:val="left"/>
        <w:rPr>
          <w:rFonts w:ascii="宋体" w:hAnsi="宋体"/>
          <w:kern w:val="0"/>
          <w:sz w:val="24"/>
        </w:rPr>
      </w:pPr>
      <w:r>
        <w:rPr>
          <w:rFonts w:hint="eastAsia" w:ascii="宋体" w:hAnsi="宋体"/>
          <w:kern w:val="0"/>
          <w:sz w:val="24"/>
        </w:rPr>
        <w:t>如需进行投料试车的，</w:t>
      </w:r>
      <w:r>
        <w:rPr>
          <w:rFonts w:ascii="宋体" w:hAnsi="宋体"/>
          <w:kern w:val="0"/>
          <w:sz w:val="24"/>
        </w:rPr>
        <w:t>发包人</w:t>
      </w:r>
      <w:r>
        <w:rPr>
          <w:rFonts w:hint="eastAsia" w:ascii="宋体" w:hAnsi="宋体"/>
          <w:kern w:val="0"/>
          <w:sz w:val="24"/>
        </w:rPr>
        <w:t>应在</w:t>
      </w:r>
      <w:r>
        <w:rPr>
          <w:rFonts w:ascii="宋体" w:hAnsi="宋体"/>
          <w:kern w:val="0"/>
          <w:sz w:val="24"/>
        </w:rPr>
        <w:t>工程竣工验收后</w:t>
      </w:r>
      <w:r>
        <w:rPr>
          <w:rFonts w:hint="eastAsia" w:ascii="宋体" w:hAnsi="宋体"/>
          <w:kern w:val="0"/>
          <w:sz w:val="24"/>
        </w:rPr>
        <w:t>组织</w:t>
      </w:r>
      <w:r>
        <w:rPr>
          <w:rFonts w:ascii="宋体" w:hAnsi="宋体"/>
          <w:kern w:val="0"/>
          <w:sz w:val="24"/>
        </w:rPr>
        <w:t>投料试车</w:t>
      </w:r>
      <w:r>
        <w:rPr>
          <w:rFonts w:hint="eastAsia" w:ascii="宋体" w:hAnsi="宋体"/>
          <w:kern w:val="0"/>
          <w:sz w:val="24"/>
        </w:rPr>
        <w:t>。</w:t>
      </w:r>
      <w:r>
        <w:rPr>
          <w:rFonts w:ascii="宋体" w:hAnsi="宋体"/>
          <w:kern w:val="0"/>
          <w:sz w:val="24"/>
        </w:rPr>
        <w:t>发包人要求在工程竣工验收前进行或需要承包人配合时，应征得承包人同意</w:t>
      </w:r>
      <w:r>
        <w:rPr>
          <w:rFonts w:hint="eastAsia" w:ascii="宋体" w:hAnsi="宋体"/>
          <w:kern w:val="0"/>
          <w:sz w:val="24"/>
        </w:rPr>
        <w:t>，并在专用合同条款中约定有关事项</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kern w:val="0"/>
          <w:sz w:val="24"/>
        </w:rPr>
        <w:t>如</w:t>
      </w:r>
      <w:r>
        <w:rPr>
          <w:rFonts w:ascii="宋体" w:hAnsi="宋体"/>
          <w:kern w:val="0"/>
          <w:sz w:val="24"/>
        </w:rPr>
        <w:t>发包人要求承包人进行整改</w:t>
      </w:r>
      <w:r>
        <w:rPr>
          <w:rFonts w:hint="eastAsia" w:ascii="宋体" w:hAnsi="宋体"/>
          <w:kern w:val="0"/>
          <w:sz w:val="24"/>
        </w:rPr>
        <w:t>的</w:t>
      </w:r>
      <w:r>
        <w:rPr>
          <w:rFonts w:ascii="宋体" w:hAnsi="宋体"/>
          <w:kern w:val="0"/>
          <w:sz w:val="24"/>
        </w:rPr>
        <w:t>，由此产生的费用由发包人承担。</w:t>
      </w:r>
    </w:p>
    <w:p>
      <w:pPr>
        <w:pStyle w:val="7"/>
        <w:spacing w:before="120" w:after="120"/>
        <w:ind w:firstLine="420"/>
        <w:rPr>
          <w:bCs w:val="0"/>
          <w:szCs w:val="24"/>
        </w:rPr>
      </w:pPr>
      <w:bookmarkStart w:id="330" w:name="_Toc18683230"/>
      <w:bookmarkStart w:id="331" w:name="_Toc337558808"/>
      <w:r>
        <w:rPr>
          <w:bCs w:val="0"/>
          <w:szCs w:val="24"/>
        </w:rPr>
        <w:t>13.4提前交付单位工程的验收</w:t>
      </w:r>
      <w:bookmarkEnd w:id="330"/>
    </w:p>
    <w:bookmarkEnd w:id="331"/>
    <w:p>
      <w:pPr>
        <w:spacing w:line="360" w:lineRule="exact"/>
        <w:ind w:firstLine="480"/>
        <w:jc w:val="left"/>
        <w:rPr>
          <w:rFonts w:ascii="宋体" w:hAnsi="宋体"/>
          <w:kern w:val="0"/>
          <w:sz w:val="24"/>
        </w:rPr>
      </w:pPr>
      <w:r>
        <w:rPr>
          <w:rFonts w:ascii="宋体" w:hAnsi="宋体"/>
          <w:kern w:val="0"/>
          <w:sz w:val="24"/>
        </w:rPr>
        <w:t>13.4.1 发包人需要在工程竣工前使用单位工程的，或承包人提出提前交付已经竣工的单位工程且经发包人同意的，可进行单位工程验收，验收的程序按照第13.2款</w:t>
      </w:r>
      <w:r>
        <w:rPr>
          <w:rFonts w:hint="eastAsia" w:ascii="宋体" w:hAnsi="宋体"/>
          <w:kern w:val="0"/>
          <w:sz w:val="24"/>
        </w:rPr>
        <w:t>〔</w:t>
      </w:r>
      <w:r>
        <w:rPr>
          <w:rFonts w:ascii="宋体" w:hAnsi="宋体"/>
          <w:kern w:val="0"/>
          <w:sz w:val="24"/>
        </w:rPr>
        <w:t>竣工验收</w:t>
      </w:r>
      <w:r>
        <w:rPr>
          <w:rFonts w:hint="eastAsia" w:ascii="宋体" w:hAnsi="宋体"/>
          <w:kern w:val="0"/>
          <w:sz w:val="24"/>
        </w:rPr>
        <w:t>〕</w:t>
      </w:r>
      <w:r>
        <w:rPr>
          <w:rFonts w:ascii="宋体" w:hAnsi="宋体"/>
          <w:kern w:val="0"/>
          <w:sz w:val="24"/>
        </w:rPr>
        <w:t>的约定进行。</w:t>
      </w:r>
    </w:p>
    <w:p>
      <w:pPr>
        <w:spacing w:line="360" w:lineRule="exact"/>
        <w:ind w:firstLine="480"/>
        <w:jc w:val="left"/>
        <w:rPr>
          <w:rFonts w:ascii="宋体" w:hAnsi="宋体"/>
          <w:kern w:val="0"/>
          <w:sz w:val="24"/>
        </w:rPr>
      </w:pPr>
      <w:r>
        <w:rPr>
          <w:rFonts w:ascii="宋体" w:hAnsi="宋体"/>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exact"/>
        <w:ind w:firstLine="480"/>
        <w:jc w:val="left"/>
        <w:rPr>
          <w:rFonts w:ascii="宋体" w:hAnsi="宋体"/>
          <w:kern w:val="0"/>
          <w:sz w:val="24"/>
        </w:rPr>
      </w:pPr>
      <w:r>
        <w:rPr>
          <w:rFonts w:ascii="宋体" w:hAnsi="宋体"/>
          <w:kern w:val="0"/>
          <w:sz w:val="24"/>
        </w:rPr>
        <w:t>13.4.2 发包人要求在工程竣工前交付单位工程，由此导致承包人费用增加和（或）工期延误的，由发包人承担由此增加的费用和（或）延误的工期，并支付承包人合理的利润。</w:t>
      </w:r>
    </w:p>
    <w:p>
      <w:pPr>
        <w:pStyle w:val="7"/>
        <w:spacing w:before="120" w:after="120"/>
        <w:ind w:firstLine="420"/>
        <w:rPr>
          <w:bCs w:val="0"/>
          <w:szCs w:val="24"/>
        </w:rPr>
      </w:pPr>
      <w:bookmarkStart w:id="332" w:name="_Toc18683231"/>
      <w:r>
        <w:rPr>
          <w:bCs w:val="0"/>
          <w:szCs w:val="24"/>
        </w:rPr>
        <w:t>13.5 施工期运行</w:t>
      </w:r>
      <w:bookmarkEnd w:id="332"/>
    </w:p>
    <w:p>
      <w:pPr>
        <w:spacing w:line="360" w:lineRule="exact"/>
        <w:ind w:firstLine="480"/>
        <w:jc w:val="left"/>
        <w:rPr>
          <w:rFonts w:ascii="宋体" w:hAnsi="宋体"/>
          <w:kern w:val="0"/>
          <w:sz w:val="24"/>
        </w:rPr>
      </w:pPr>
      <w:r>
        <w:rPr>
          <w:rFonts w:ascii="宋体" w:hAnsi="宋体"/>
          <w:kern w:val="0"/>
          <w:sz w:val="24"/>
        </w:rPr>
        <w:t>13.5.1 施工期运行是指合同工程尚未全部竣工，其中某项或某几项单位工程或工程设备安装已竣工，根据专用合同条款约定，需要投入施工期运行的，经发包人按第13.4款</w:t>
      </w:r>
      <w:r>
        <w:rPr>
          <w:rFonts w:hint="eastAsia" w:ascii="宋体" w:hAnsi="宋体"/>
          <w:kern w:val="0"/>
          <w:sz w:val="24"/>
        </w:rPr>
        <w:t>〔</w:t>
      </w:r>
      <w:r>
        <w:rPr>
          <w:rFonts w:ascii="宋体" w:hAnsi="宋体"/>
          <w:kern w:val="0"/>
          <w:sz w:val="24"/>
        </w:rPr>
        <w:t>提前交付单位工程的验收</w:t>
      </w:r>
      <w:r>
        <w:rPr>
          <w:rFonts w:hint="eastAsia" w:ascii="宋体" w:hAnsi="宋体"/>
          <w:kern w:val="0"/>
          <w:sz w:val="24"/>
        </w:rPr>
        <w:t>〕</w:t>
      </w:r>
      <w:r>
        <w:rPr>
          <w:rFonts w:ascii="宋体" w:hAnsi="宋体"/>
          <w:kern w:val="0"/>
          <w:sz w:val="24"/>
        </w:rPr>
        <w:t>的约定验收合格，证明能确保安全后，才能在施工期投入运行。</w:t>
      </w:r>
    </w:p>
    <w:p>
      <w:pPr>
        <w:spacing w:line="360" w:lineRule="exact"/>
        <w:ind w:firstLine="480"/>
        <w:jc w:val="left"/>
        <w:rPr>
          <w:rFonts w:ascii="宋体" w:hAnsi="宋体"/>
          <w:kern w:val="0"/>
          <w:sz w:val="24"/>
        </w:rPr>
      </w:pPr>
      <w:r>
        <w:rPr>
          <w:rFonts w:ascii="宋体" w:hAnsi="宋体"/>
          <w:kern w:val="0"/>
          <w:sz w:val="24"/>
        </w:rPr>
        <w:t>13.5.2 在施工期运行中发现工程或工程设备损坏或存在缺陷的，由承包人按第15.2款</w:t>
      </w:r>
      <w:r>
        <w:rPr>
          <w:rFonts w:hint="eastAsia" w:ascii="宋体" w:hAnsi="宋体"/>
          <w:kern w:val="0"/>
          <w:sz w:val="24"/>
        </w:rPr>
        <w:t>〔</w:t>
      </w:r>
      <w:r>
        <w:rPr>
          <w:rFonts w:ascii="宋体" w:hAnsi="宋体"/>
          <w:kern w:val="0"/>
          <w:sz w:val="24"/>
        </w:rPr>
        <w:t>缺陷责任期</w:t>
      </w:r>
      <w:r>
        <w:rPr>
          <w:rFonts w:hint="eastAsia" w:ascii="宋体" w:hAnsi="宋体"/>
          <w:kern w:val="0"/>
          <w:sz w:val="24"/>
        </w:rPr>
        <w:t>〕</w:t>
      </w:r>
      <w:r>
        <w:rPr>
          <w:rFonts w:ascii="宋体" w:hAnsi="宋体"/>
          <w:kern w:val="0"/>
          <w:sz w:val="24"/>
        </w:rPr>
        <w:t>约定进行修复。</w:t>
      </w:r>
    </w:p>
    <w:p>
      <w:pPr>
        <w:pStyle w:val="7"/>
        <w:spacing w:before="120" w:after="120"/>
        <w:ind w:firstLine="420"/>
        <w:rPr>
          <w:bCs w:val="0"/>
          <w:szCs w:val="24"/>
        </w:rPr>
      </w:pPr>
      <w:bookmarkStart w:id="333" w:name="_Toc296503112"/>
      <w:bookmarkStart w:id="334" w:name="_Toc296346613"/>
      <w:bookmarkStart w:id="335" w:name="_Toc18683232"/>
      <w:bookmarkStart w:id="336" w:name="_Toc337558809"/>
      <w:r>
        <w:rPr>
          <w:bCs w:val="0"/>
          <w:szCs w:val="24"/>
        </w:rPr>
        <w:t>13.6 竣工退</w:t>
      </w:r>
      <w:bookmarkEnd w:id="333"/>
      <w:bookmarkEnd w:id="334"/>
      <w:r>
        <w:rPr>
          <w:bCs w:val="0"/>
          <w:szCs w:val="24"/>
        </w:rPr>
        <w:t>场</w:t>
      </w:r>
      <w:bookmarkEnd w:id="335"/>
    </w:p>
    <w:bookmarkEnd w:id="336"/>
    <w:p>
      <w:pPr>
        <w:spacing w:line="360" w:lineRule="exact"/>
        <w:ind w:firstLine="480"/>
        <w:jc w:val="left"/>
        <w:rPr>
          <w:rFonts w:ascii="宋体" w:hAnsi="宋体"/>
          <w:kern w:val="0"/>
          <w:sz w:val="24"/>
        </w:rPr>
      </w:pPr>
      <w:r>
        <w:rPr>
          <w:rFonts w:ascii="宋体" w:hAnsi="宋体"/>
          <w:kern w:val="0"/>
          <w:sz w:val="24"/>
        </w:rPr>
        <w:t>13.6.1 竣工退场</w:t>
      </w:r>
    </w:p>
    <w:p>
      <w:pPr>
        <w:spacing w:line="360" w:lineRule="exact"/>
        <w:ind w:firstLine="480"/>
        <w:jc w:val="left"/>
        <w:rPr>
          <w:rFonts w:ascii="宋体" w:hAnsi="宋体"/>
          <w:kern w:val="0"/>
          <w:sz w:val="24"/>
        </w:rPr>
      </w:pPr>
      <w:r>
        <w:rPr>
          <w:rFonts w:ascii="宋体" w:hAnsi="宋体"/>
          <w:kern w:val="0"/>
          <w:sz w:val="24"/>
        </w:rPr>
        <w:t>颁发工程接收证书后，承包人应按以下要求对施工现场进行清理：</w:t>
      </w:r>
    </w:p>
    <w:p>
      <w:pPr>
        <w:spacing w:line="360" w:lineRule="exact"/>
        <w:ind w:firstLine="480"/>
        <w:jc w:val="left"/>
        <w:rPr>
          <w:rFonts w:ascii="宋体" w:hAnsi="宋体"/>
          <w:kern w:val="0"/>
          <w:sz w:val="24"/>
        </w:rPr>
      </w:pPr>
      <w:r>
        <w:rPr>
          <w:rFonts w:ascii="宋体" w:hAnsi="宋体"/>
          <w:kern w:val="0"/>
          <w:sz w:val="24"/>
        </w:rPr>
        <w:t>（1）施工现场内残留的垃圾已全部清除出场；</w:t>
      </w:r>
    </w:p>
    <w:p>
      <w:pPr>
        <w:spacing w:line="360" w:lineRule="exact"/>
        <w:ind w:firstLine="480"/>
        <w:jc w:val="left"/>
        <w:rPr>
          <w:rFonts w:ascii="宋体" w:hAnsi="宋体"/>
          <w:kern w:val="0"/>
          <w:sz w:val="24"/>
        </w:rPr>
      </w:pPr>
      <w:r>
        <w:rPr>
          <w:rFonts w:ascii="宋体" w:hAnsi="宋体"/>
          <w:kern w:val="0"/>
          <w:sz w:val="24"/>
        </w:rPr>
        <w:t>（2）临时工程已拆除，场地已进行清理、平整或复原；</w:t>
      </w:r>
    </w:p>
    <w:p>
      <w:pPr>
        <w:spacing w:line="360" w:lineRule="exact"/>
        <w:ind w:firstLine="480"/>
        <w:jc w:val="left"/>
        <w:rPr>
          <w:rFonts w:ascii="宋体" w:hAnsi="宋体"/>
          <w:kern w:val="0"/>
          <w:sz w:val="24"/>
        </w:rPr>
      </w:pPr>
      <w:r>
        <w:rPr>
          <w:rFonts w:ascii="宋体" w:hAnsi="宋体"/>
          <w:kern w:val="0"/>
          <w:sz w:val="24"/>
        </w:rPr>
        <w:t>（3）按合同约定应撤离的人员、承包人施工设备和剩余的材料，包括废弃的施工设备和材料，已按计划撤离施工现场；</w:t>
      </w:r>
    </w:p>
    <w:p>
      <w:pPr>
        <w:spacing w:line="360" w:lineRule="exact"/>
        <w:ind w:firstLine="480"/>
        <w:jc w:val="left"/>
        <w:rPr>
          <w:rFonts w:ascii="宋体" w:hAnsi="宋体"/>
          <w:kern w:val="0"/>
          <w:sz w:val="24"/>
        </w:rPr>
      </w:pPr>
      <w:r>
        <w:rPr>
          <w:rFonts w:ascii="宋体" w:hAnsi="宋体"/>
          <w:kern w:val="0"/>
          <w:sz w:val="24"/>
        </w:rPr>
        <w:t>（4）施工现场周边及其附近道路、河道的施工堆积物，已全部清理；</w:t>
      </w:r>
    </w:p>
    <w:p>
      <w:pPr>
        <w:spacing w:line="360" w:lineRule="exact"/>
        <w:ind w:firstLine="480"/>
        <w:jc w:val="left"/>
        <w:rPr>
          <w:rFonts w:ascii="宋体" w:hAnsi="宋体"/>
          <w:kern w:val="0"/>
          <w:sz w:val="24"/>
        </w:rPr>
      </w:pPr>
      <w:r>
        <w:rPr>
          <w:rFonts w:ascii="宋体" w:hAnsi="宋体"/>
          <w:kern w:val="0"/>
          <w:sz w:val="24"/>
        </w:rPr>
        <w:t>（5）施工现场其他场地清理工作已全部完成。</w:t>
      </w:r>
    </w:p>
    <w:p>
      <w:pPr>
        <w:spacing w:line="360" w:lineRule="exact"/>
        <w:ind w:firstLine="480"/>
        <w:jc w:val="left"/>
        <w:rPr>
          <w:rFonts w:ascii="宋体" w:hAnsi="宋体"/>
          <w:kern w:val="0"/>
          <w:sz w:val="24"/>
        </w:rPr>
      </w:pPr>
      <w:r>
        <w:rPr>
          <w:rFonts w:ascii="宋体" w:hAnsi="宋体"/>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exact"/>
        <w:ind w:firstLine="480"/>
        <w:jc w:val="left"/>
        <w:rPr>
          <w:rFonts w:ascii="宋体" w:hAnsi="宋体"/>
          <w:kern w:val="0"/>
          <w:sz w:val="24"/>
        </w:rPr>
      </w:pPr>
      <w:r>
        <w:rPr>
          <w:rFonts w:ascii="宋体" w:hAnsi="宋体"/>
          <w:kern w:val="0"/>
          <w:sz w:val="24"/>
        </w:rPr>
        <w:t>13.6.2 地表还原</w:t>
      </w:r>
    </w:p>
    <w:p>
      <w:pPr>
        <w:spacing w:line="360" w:lineRule="exact"/>
        <w:ind w:firstLine="480"/>
        <w:jc w:val="left"/>
        <w:rPr>
          <w:rFonts w:ascii="宋体" w:hAnsi="宋体"/>
          <w:kern w:val="0"/>
          <w:sz w:val="24"/>
        </w:rPr>
      </w:pPr>
      <w:r>
        <w:rPr>
          <w:rFonts w:ascii="宋体" w:hAnsi="宋体"/>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ind w:left="103" w:leftChars="0" w:firstLineChars="0"/>
      </w:pPr>
      <w:bookmarkStart w:id="337" w:name="_Toc18683233"/>
      <w:bookmarkStart w:id="338" w:name="_Toc337558810"/>
      <w:bookmarkStart w:id="339" w:name="_Toc296346614"/>
      <w:bookmarkStart w:id="340" w:name="_Toc296503113"/>
      <w:r>
        <w:t>14. 竣工结算</w:t>
      </w:r>
      <w:bookmarkEnd w:id="337"/>
    </w:p>
    <w:bookmarkEnd w:id="338"/>
    <w:p>
      <w:pPr>
        <w:pStyle w:val="7"/>
        <w:spacing w:before="120" w:after="120"/>
        <w:ind w:firstLine="420"/>
        <w:rPr>
          <w:bCs w:val="0"/>
          <w:szCs w:val="24"/>
        </w:rPr>
      </w:pPr>
      <w:bookmarkStart w:id="341" w:name="_Toc18683234"/>
      <w:bookmarkStart w:id="342" w:name="_Toc337558811"/>
      <w:r>
        <w:rPr>
          <w:bCs w:val="0"/>
          <w:szCs w:val="24"/>
        </w:rPr>
        <w:t>14.1 竣工结算申请</w:t>
      </w:r>
      <w:bookmarkEnd w:id="341"/>
    </w:p>
    <w:bookmarkEnd w:id="342"/>
    <w:p>
      <w:pPr>
        <w:autoSpaceDE w:val="0"/>
        <w:autoSpaceDN w:val="0"/>
        <w:adjustRightInd w:val="0"/>
        <w:spacing w:line="360" w:lineRule="exact"/>
        <w:ind w:firstLine="480"/>
        <w:jc w:val="left"/>
        <w:rPr>
          <w:rFonts w:ascii="宋体" w:hAnsi="宋体"/>
          <w:sz w:val="24"/>
        </w:rPr>
      </w:pPr>
      <w:r>
        <w:rPr>
          <w:rFonts w:ascii="宋体" w:hAnsi="宋体"/>
          <w:kern w:val="0"/>
          <w:sz w:val="24"/>
        </w:rPr>
        <w:t>除专用合同条款另有约定外，</w:t>
      </w:r>
      <w:r>
        <w:rPr>
          <w:rFonts w:ascii="宋体" w:hAnsi="宋体"/>
          <w:sz w:val="24"/>
        </w:rPr>
        <w:t>承包人应在工程竣工验收合格后28天内向发包人和监理人提交竣工结算申请单，并提交完整的结算资料，</w:t>
      </w:r>
      <w:r>
        <w:rPr>
          <w:rFonts w:hint="eastAsia" w:ascii="宋体" w:hAnsi="宋体"/>
          <w:sz w:val="24"/>
        </w:rPr>
        <w:t>有关</w:t>
      </w:r>
      <w:r>
        <w:rPr>
          <w:rFonts w:ascii="宋体" w:hAnsi="宋体"/>
          <w:sz w:val="24"/>
        </w:rPr>
        <w:t>竣工结算申请单</w:t>
      </w:r>
      <w:r>
        <w:rPr>
          <w:rFonts w:hint="eastAsia" w:ascii="宋体" w:hAnsi="宋体"/>
          <w:sz w:val="24"/>
        </w:rPr>
        <w:t>的资料清单和</w:t>
      </w:r>
      <w:r>
        <w:rPr>
          <w:rFonts w:ascii="宋体" w:hAnsi="宋体"/>
          <w:sz w:val="24"/>
        </w:rPr>
        <w:t>份数</w:t>
      </w:r>
      <w:r>
        <w:rPr>
          <w:rFonts w:hint="eastAsia" w:ascii="宋体" w:hAnsi="宋体"/>
          <w:sz w:val="24"/>
        </w:rPr>
        <w:t>等要求</w:t>
      </w:r>
      <w:r>
        <w:rPr>
          <w:rFonts w:ascii="宋体" w:hAnsi="宋体"/>
          <w:sz w:val="24"/>
        </w:rPr>
        <w:t>由合同当事人在专用合同条款中约定。</w:t>
      </w:r>
    </w:p>
    <w:p>
      <w:pPr>
        <w:autoSpaceDE w:val="0"/>
        <w:autoSpaceDN w:val="0"/>
        <w:adjustRightInd w:val="0"/>
        <w:spacing w:line="360" w:lineRule="exact"/>
        <w:ind w:firstLine="480"/>
        <w:jc w:val="left"/>
        <w:rPr>
          <w:rFonts w:ascii="宋体" w:hAnsi="宋体"/>
          <w:sz w:val="24"/>
        </w:rPr>
      </w:pPr>
      <w:r>
        <w:rPr>
          <w:rFonts w:ascii="宋体" w:hAnsi="宋体"/>
          <w:sz w:val="24"/>
        </w:rPr>
        <w:t>除专用合同条款另有约定外，竣工结算申请单应包括以下内容：</w:t>
      </w:r>
    </w:p>
    <w:p>
      <w:pPr>
        <w:autoSpaceDE w:val="0"/>
        <w:autoSpaceDN w:val="0"/>
        <w:adjustRightInd w:val="0"/>
        <w:spacing w:line="360" w:lineRule="exact"/>
        <w:ind w:firstLine="480"/>
        <w:jc w:val="left"/>
        <w:rPr>
          <w:rFonts w:ascii="宋体" w:hAnsi="宋体"/>
          <w:sz w:val="24"/>
        </w:rPr>
      </w:pPr>
      <w:r>
        <w:rPr>
          <w:rFonts w:ascii="宋体" w:hAnsi="宋体"/>
          <w:sz w:val="24"/>
        </w:rPr>
        <w:t>（1）竣工结算合同价格；</w:t>
      </w:r>
    </w:p>
    <w:p>
      <w:pPr>
        <w:autoSpaceDE w:val="0"/>
        <w:autoSpaceDN w:val="0"/>
        <w:adjustRightInd w:val="0"/>
        <w:spacing w:line="360" w:lineRule="exact"/>
        <w:ind w:firstLine="480"/>
        <w:jc w:val="left"/>
        <w:rPr>
          <w:rFonts w:ascii="宋体" w:hAnsi="宋体"/>
          <w:sz w:val="24"/>
        </w:rPr>
      </w:pPr>
      <w:r>
        <w:rPr>
          <w:rFonts w:ascii="宋体" w:hAnsi="宋体"/>
          <w:sz w:val="24"/>
        </w:rPr>
        <w:t>（2）发包人已支付承包人的款项；</w:t>
      </w:r>
    </w:p>
    <w:p>
      <w:pPr>
        <w:autoSpaceDE w:val="0"/>
        <w:autoSpaceDN w:val="0"/>
        <w:adjustRightInd w:val="0"/>
        <w:spacing w:line="360" w:lineRule="exact"/>
        <w:ind w:firstLine="480"/>
        <w:jc w:val="left"/>
        <w:rPr>
          <w:rFonts w:ascii="宋体" w:hAnsi="宋体"/>
          <w:sz w:val="24"/>
        </w:rPr>
      </w:pPr>
      <w:r>
        <w:rPr>
          <w:rFonts w:ascii="宋体" w:hAnsi="宋体"/>
          <w:sz w:val="24"/>
        </w:rPr>
        <w:t>（3）应扣留的质量保证金</w:t>
      </w:r>
      <w:r>
        <w:rPr>
          <w:rFonts w:hint="eastAsia" w:ascii="宋体" w:hAnsi="宋体"/>
          <w:sz w:val="24"/>
        </w:rPr>
        <w:t>。已缴纳履约保证金的或提供其他工程质量担保方式的除外</w:t>
      </w:r>
      <w:r>
        <w:rPr>
          <w:rFonts w:ascii="宋体" w:hAnsi="宋体"/>
          <w:sz w:val="24"/>
        </w:rPr>
        <w:t xml:space="preserve">； </w:t>
      </w:r>
    </w:p>
    <w:p>
      <w:pPr>
        <w:autoSpaceDE w:val="0"/>
        <w:autoSpaceDN w:val="0"/>
        <w:adjustRightInd w:val="0"/>
        <w:spacing w:line="360" w:lineRule="exact"/>
        <w:ind w:firstLine="480"/>
        <w:jc w:val="left"/>
        <w:rPr>
          <w:rFonts w:ascii="宋体" w:hAnsi="宋体"/>
          <w:sz w:val="24"/>
        </w:rPr>
      </w:pPr>
      <w:r>
        <w:rPr>
          <w:rFonts w:ascii="宋体" w:hAnsi="宋体"/>
          <w:sz w:val="24"/>
        </w:rPr>
        <w:t>（4）发包人应支付承包人的合同价款。</w:t>
      </w:r>
    </w:p>
    <w:p>
      <w:pPr>
        <w:pStyle w:val="7"/>
        <w:spacing w:before="120" w:after="120"/>
        <w:ind w:firstLine="420"/>
        <w:rPr>
          <w:bCs w:val="0"/>
          <w:szCs w:val="24"/>
        </w:rPr>
      </w:pPr>
      <w:bookmarkStart w:id="343" w:name="_Toc18683235"/>
      <w:bookmarkStart w:id="344" w:name="_Toc337558812"/>
      <w:r>
        <w:rPr>
          <w:bCs w:val="0"/>
          <w:szCs w:val="24"/>
        </w:rPr>
        <w:t>14.2 竣工结算审核</w:t>
      </w:r>
      <w:bookmarkEnd w:id="343"/>
    </w:p>
    <w:bookmarkEnd w:id="344"/>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kern w:val="0"/>
          <w:sz w:val="24"/>
        </w:rPr>
        <w:t>审批</w:t>
      </w:r>
      <w:r>
        <w:rPr>
          <w:rFonts w:ascii="宋体" w:hAnsi="宋体"/>
          <w:kern w:val="0"/>
          <w:sz w:val="24"/>
        </w:rPr>
        <w:t>，并由监理人向承包人签发经发包人签认的竣工付款证书。监理人或</w:t>
      </w:r>
      <w:r>
        <w:rPr>
          <w:rFonts w:ascii="宋体" w:hAnsi="宋体"/>
          <w:sz w:val="24"/>
        </w:rPr>
        <w:t>发包人对竣工</w:t>
      </w:r>
      <w:r>
        <w:rPr>
          <w:rFonts w:ascii="宋体" w:hAnsi="宋体"/>
          <w:kern w:val="0"/>
          <w:sz w:val="24"/>
        </w:rPr>
        <w:t>结算</w:t>
      </w:r>
      <w:r>
        <w:rPr>
          <w:rFonts w:ascii="宋体" w:hAnsi="宋体"/>
          <w:sz w:val="24"/>
        </w:rPr>
        <w:t>申请单有异议的，有权要求承包人进行修正和提供补充资料，承包人应提交修正后的竣工</w:t>
      </w:r>
      <w:r>
        <w:rPr>
          <w:rFonts w:ascii="宋体" w:hAnsi="宋体"/>
          <w:kern w:val="0"/>
          <w:sz w:val="24"/>
        </w:rPr>
        <w:t>结算</w:t>
      </w:r>
      <w:r>
        <w:rPr>
          <w:rFonts w:ascii="宋体" w:hAnsi="宋体"/>
          <w:sz w:val="24"/>
        </w:rPr>
        <w:t>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发包人在收到承包人提交竣工结算申请书后28天</w:t>
      </w:r>
      <w:r>
        <w:rPr>
          <w:rFonts w:hint="eastAsia" w:ascii="宋体" w:hAnsi="宋体"/>
          <w:kern w:val="0"/>
          <w:sz w:val="24"/>
        </w:rPr>
        <w:t>内</w:t>
      </w:r>
      <w:r>
        <w:rPr>
          <w:rFonts w:ascii="宋体" w:hAnsi="宋体"/>
          <w:kern w:val="0"/>
          <w:sz w:val="24"/>
        </w:rPr>
        <w:t>未完成</w:t>
      </w:r>
      <w:r>
        <w:rPr>
          <w:rFonts w:hint="eastAsia" w:ascii="宋体" w:hAnsi="宋体"/>
          <w:kern w:val="0"/>
          <w:sz w:val="24"/>
        </w:rPr>
        <w:t>审批</w:t>
      </w:r>
      <w:r>
        <w:rPr>
          <w:rFonts w:ascii="宋体" w:hAnsi="宋体"/>
          <w:kern w:val="0"/>
          <w:sz w:val="24"/>
        </w:rPr>
        <w:t>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w:t>
      </w:r>
      <w:bookmarkStart w:id="345" w:name="_Hlk14092537"/>
      <w:r>
        <w:rPr>
          <w:rFonts w:ascii="宋体" w:hAnsi="宋体"/>
          <w:kern w:val="0"/>
          <w:sz w:val="24"/>
        </w:rPr>
        <w:t>签发竣工付款证书后</w:t>
      </w:r>
      <w:bookmarkEnd w:id="345"/>
      <w:r>
        <w:rPr>
          <w:rFonts w:ascii="宋体" w:hAnsi="宋体"/>
          <w:kern w:val="0"/>
          <w:sz w:val="24"/>
        </w:rPr>
        <w:t>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（3）承包人对发包人签认的竣工付款证书有异议的，对于有异议部分应在收到发包人签认的竣工付款证书后7天内提出异议，并由合同当事人按照专用合同条款约定</w:t>
      </w:r>
      <w:r>
        <w:rPr>
          <w:rFonts w:hint="eastAsia" w:ascii="宋体" w:hAnsi="宋体"/>
          <w:kern w:val="0"/>
          <w:sz w:val="24"/>
        </w:rPr>
        <w:t>的方式和程序</w:t>
      </w:r>
      <w:r>
        <w:rPr>
          <w:rFonts w:ascii="宋体" w:hAnsi="宋体"/>
          <w:kern w:val="0"/>
          <w:sz w:val="24"/>
        </w:rPr>
        <w:t>进行复核，或按照第20条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约定处理。对于无异议部分，发包人应签发临时竣工付款证书，并按本款第（2）项完成付款</w:t>
      </w:r>
      <w:r>
        <w:rPr>
          <w:rFonts w:hint="eastAsia" w:ascii="宋体" w:hAnsi="宋体"/>
          <w:kern w:val="0"/>
          <w:sz w:val="24"/>
        </w:rPr>
        <w:t>。</w:t>
      </w:r>
      <w:r>
        <w:rPr>
          <w:rFonts w:ascii="宋体" w:hAnsi="宋体"/>
          <w:kern w:val="0"/>
          <w:sz w:val="24"/>
        </w:rPr>
        <w:t>承包人逾期未提出异议的，视为认可发包人的</w:t>
      </w:r>
      <w:r>
        <w:rPr>
          <w:rFonts w:hint="eastAsia" w:ascii="宋体" w:hAnsi="宋体"/>
          <w:kern w:val="0"/>
          <w:sz w:val="24"/>
        </w:rPr>
        <w:t>审批</w:t>
      </w:r>
      <w:r>
        <w:rPr>
          <w:rFonts w:ascii="宋体" w:hAnsi="宋体"/>
          <w:kern w:val="0"/>
          <w:sz w:val="24"/>
        </w:rPr>
        <w:t>结果。</w:t>
      </w:r>
    </w:p>
    <w:p>
      <w:pPr>
        <w:pStyle w:val="7"/>
        <w:spacing w:before="120" w:after="120"/>
        <w:ind w:firstLine="420"/>
        <w:rPr>
          <w:bCs w:val="0"/>
          <w:szCs w:val="24"/>
        </w:rPr>
      </w:pPr>
      <w:bookmarkStart w:id="346" w:name="_Toc18683236"/>
      <w:bookmarkStart w:id="347" w:name="_Toc337558813"/>
      <w:r>
        <w:rPr>
          <w:bCs w:val="0"/>
          <w:szCs w:val="24"/>
        </w:rPr>
        <w:t>14.3 甩项竣工协议</w:t>
      </w:r>
      <w:bookmarkEnd w:id="346"/>
    </w:p>
    <w:bookmarkEnd w:id="347"/>
    <w:p>
      <w:pPr>
        <w:autoSpaceDE w:val="0"/>
        <w:autoSpaceDN w:val="0"/>
        <w:adjustRightInd w:val="0"/>
        <w:spacing w:line="360" w:lineRule="exact"/>
        <w:ind w:firstLine="470" w:firstLineChars="196"/>
        <w:jc w:val="left"/>
        <w:rPr>
          <w:rFonts w:ascii="宋体" w:hAnsi="宋体"/>
          <w:kern w:val="0"/>
          <w:sz w:val="24"/>
        </w:rPr>
      </w:pPr>
      <w:r>
        <w:rPr>
          <w:rFonts w:ascii="宋体" w:hAnsi="宋体"/>
          <w:sz w:val="24"/>
        </w:rPr>
        <w:t>发包人要求甩项竣工的，合同当事人应签订甩项竣工协议。在甩项竣工协议中应明确，合同当事人按照第14.1款</w:t>
      </w:r>
      <w:r>
        <w:rPr>
          <w:rFonts w:hint="eastAsia" w:ascii="宋体" w:hAnsi="宋体"/>
          <w:sz w:val="24"/>
        </w:rPr>
        <w:t>〔</w:t>
      </w:r>
      <w:r>
        <w:rPr>
          <w:rFonts w:ascii="宋体" w:hAnsi="宋体"/>
          <w:sz w:val="24"/>
        </w:rPr>
        <w:t>竣工</w:t>
      </w:r>
      <w:r>
        <w:rPr>
          <w:rFonts w:hint="eastAsia" w:ascii="宋体" w:hAnsi="宋体"/>
          <w:sz w:val="24"/>
        </w:rPr>
        <w:t>结算</w:t>
      </w:r>
      <w:r>
        <w:rPr>
          <w:rFonts w:ascii="宋体" w:hAnsi="宋体"/>
          <w:sz w:val="24"/>
        </w:rPr>
        <w:t>申请</w:t>
      </w:r>
      <w:r>
        <w:rPr>
          <w:rFonts w:hint="eastAsia" w:ascii="宋体" w:hAnsi="宋体"/>
          <w:sz w:val="24"/>
        </w:rPr>
        <w:t>〕</w:t>
      </w:r>
      <w:r>
        <w:rPr>
          <w:rFonts w:ascii="宋体" w:hAnsi="宋体"/>
          <w:sz w:val="24"/>
        </w:rPr>
        <w:t>及14.2款</w:t>
      </w:r>
      <w:r>
        <w:rPr>
          <w:rFonts w:hint="eastAsia" w:ascii="宋体" w:hAnsi="宋体"/>
          <w:sz w:val="24"/>
        </w:rPr>
        <w:t>〔</w:t>
      </w:r>
      <w:r>
        <w:rPr>
          <w:rFonts w:ascii="宋体" w:hAnsi="宋体"/>
          <w:sz w:val="24"/>
        </w:rPr>
        <w:t>竣工结算审核</w:t>
      </w:r>
      <w:r>
        <w:rPr>
          <w:rFonts w:hint="eastAsia" w:ascii="宋体" w:hAnsi="宋体"/>
          <w:sz w:val="24"/>
        </w:rPr>
        <w:t>〕</w:t>
      </w:r>
      <w:r>
        <w:rPr>
          <w:rFonts w:ascii="宋体" w:hAnsi="宋体"/>
          <w:sz w:val="24"/>
        </w:rPr>
        <w:t>的约定，</w:t>
      </w:r>
      <w:r>
        <w:rPr>
          <w:rFonts w:hint="eastAsia" w:ascii="宋体" w:hAnsi="宋体"/>
          <w:sz w:val="24"/>
        </w:rPr>
        <w:t>对已</w:t>
      </w:r>
      <w:r>
        <w:rPr>
          <w:rFonts w:ascii="宋体" w:hAnsi="宋体"/>
          <w:sz w:val="24"/>
        </w:rPr>
        <w:t>完合格工程</w:t>
      </w:r>
      <w:r>
        <w:rPr>
          <w:rFonts w:hint="eastAsia" w:ascii="宋体" w:hAnsi="宋体"/>
          <w:sz w:val="24"/>
        </w:rPr>
        <w:t>进行</w:t>
      </w:r>
      <w:r>
        <w:rPr>
          <w:rFonts w:ascii="宋体" w:hAnsi="宋体"/>
          <w:sz w:val="24"/>
        </w:rPr>
        <w:t>结算，并支付相应</w:t>
      </w:r>
      <w:r>
        <w:rPr>
          <w:rFonts w:hint="eastAsia" w:ascii="宋体" w:hAnsi="宋体"/>
          <w:sz w:val="24"/>
        </w:rPr>
        <w:t>合同</w:t>
      </w:r>
      <w:r>
        <w:rPr>
          <w:rFonts w:ascii="宋体" w:hAnsi="宋体"/>
          <w:sz w:val="24"/>
        </w:rPr>
        <w:t>价款。</w:t>
      </w:r>
    </w:p>
    <w:p>
      <w:pPr>
        <w:pStyle w:val="7"/>
        <w:spacing w:before="120" w:after="120"/>
        <w:ind w:firstLine="420"/>
        <w:rPr>
          <w:bCs w:val="0"/>
          <w:szCs w:val="24"/>
        </w:rPr>
      </w:pPr>
      <w:bookmarkStart w:id="348" w:name="_Toc18683237"/>
      <w:bookmarkStart w:id="349" w:name="_Toc337558814"/>
      <w:r>
        <w:rPr>
          <w:bCs w:val="0"/>
          <w:szCs w:val="24"/>
        </w:rPr>
        <w:t>14.4 最终结清</w:t>
      </w:r>
      <w:bookmarkEnd w:id="348"/>
    </w:p>
    <w:bookmarkEnd w:id="349"/>
    <w:p>
      <w:pPr>
        <w:autoSpaceDE w:val="0"/>
        <w:autoSpaceDN w:val="0"/>
        <w:adjustRightInd w:val="0"/>
        <w:spacing w:line="360" w:lineRule="exact"/>
        <w:ind w:firstLine="480"/>
        <w:jc w:val="left"/>
        <w:rPr>
          <w:rFonts w:ascii="宋体" w:hAnsi="宋体"/>
          <w:kern w:val="0"/>
          <w:sz w:val="24"/>
        </w:rPr>
      </w:pPr>
      <w:r>
        <w:rPr>
          <w:rFonts w:ascii="宋体" w:hAnsi="宋体"/>
          <w:kern w:val="0"/>
          <w:sz w:val="24"/>
        </w:rPr>
        <w:t>14.4.1 最终结清申请单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exact"/>
        <w:ind w:firstLine="480"/>
        <w:jc w:val="left"/>
        <w:rPr>
          <w:rFonts w:ascii="宋体" w:hAnsi="宋体"/>
          <w:sz w:val="24"/>
        </w:rPr>
      </w:pPr>
      <w:r>
        <w:rPr>
          <w:rFonts w:ascii="宋体" w:hAnsi="宋体"/>
          <w:sz w:val="24"/>
        </w:rPr>
        <w:t>除专用合同条款另有约定外，</w:t>
      </w:r>
      <w:r>
        <w:rPr>
          <w:rFonts w:ascii="宋体" w:hAnsi="宋体"/>
          <w:kern w:val="0"/>
          <w:sz w:val="24"/>
        </w:rPr>
        <w:t>最终结清申请单</w:t>
      </w:r>
      <w:r>
        <w:rPr>
          <w:rFonts w:ascii="宋体" w:hAnsi="宋体"/>
          <w:sz w:val="24"/>
        </w:rPr>
        <w:t>应列明质量保证金、应扣除的质量保证金、缺陷责任期内发生的增减费用。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14.4.2 最终结清证书和支付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（1）除专用合同条款另有约定外，发包人应在收到承包人提交的最终结清申请单后14天内完成审批并向承包人颁发最终结清证书。发包人逾期未完成</w:t>
      </w:r>
      <w:r>
        <w:rPr>
          <w:rFonts w:hint="eastAsia" w:ascii="宋体" w:hAnsi="宋体"/>
          <w:kern w:val="0"/>
          <w:sz w:val="24"/>
        </w:rPr>
        <w:t>审批</w:t>
      </w:r>
      <w:r>
        <w:rPr>
          <w:rFonts w:ascii="宋体" w:hAnsi="宋体"/>
          <w:kern w:val="0"/>
          <w:sz w:val="24"/>
        </w:rPr>
        <w:t>，又未提出修改意见的，视为发包人同意承包人提交的最终结清申请单，且自发包人收到承包人提交的最终结清申请单后15天起视为已颁发最终结清证书。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（3）承包人对发包人颁发的最终结清证书有异议的，按第20条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的约定办理。</w:t>
      </w:r>
    </w:p>
    <w:p>
      <w:pPr>
        <w:pStyle w:val="6"/>
        <w:ind w:left="103" w:leftChars="0" w:firstLineChars="0"/>
      </w:pPr>
      <w:bookmarkStart w:id="350" w:name="_Toc18683238"/>
      <w:bookmarkStart w:id="351" w:name="_Toc337558815"/>
      <w:r>
        <w:t>15. 缺陷责任与保修</w:t>
      </w:r>
      <w:bookmarkEnd w:id="350"/>
    </w:p>
    <w:bookmarkEnd w:id="339"/>
    <w:bookmarkEnd w:id="340"/>
    <w:bookmarkEnd w:id="351"/>
    <w:p>
      <w:pPr>
        <w:pStyle w:val="7"/>
        <w:spacing w:before="120" w:after="120"/>
        <w:ind w:firstLine="420"/>
        <w:rPr>
          <w:bCs w:val="0"/>
          <w:szCs w:val="24"/>
        </w:rPr>
      </w:pPr>
      <w:bookmarkStart w:id="352" w:name="_Toc18683239"/>
      <w:bookmarkStart w:id="353" w:name="_Toc337558816"/>
      <w:bookmarkStart w:id="354" w:name="_Toc296503114"/>
      <w:bookmarkStart w:id="355" w:name="_Toc296346615"/>
      <w:r>
        <w:rPr>
          <w:bCs w:val="0"/>
          <w:szCs w:val="24"/>
        </w:rPr>
        <w:t>15.1 工程保修的原则</w:t>
      </w:r>
      <w:bookmarkEnd w:id="352"/>
    </w:p>
    <w:bookmarkEnd w:id="353"/>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在工程移交发包人后，因承包人原因产生的质量缺陷，承包人应承担质量缺陷责任和保修义务。缺陷责任期届满，承包人仍应按合同约定的工程各部位保修年限承担保修义务。</w:t>
      </w:r>
    </w:p>
    <w:p>
      <w:pPr>
        <w:pStyle w:val="7"/>
        <w:spacing w:before="120" w:after="120"/>
        <w:ind w:firstLine="420"/>
        <w:rPr>
          <w:bCs w:val="0"/>
          <w:szCs w:val="24"/>
        </w:rPr>
      </w:pPr>
      <w:bookmarkStart w:id="356" w:name="_Toc18683240"/>
      <w:bookmarkStart w:id="357" w:name="_Toc337558817"/>
      <w:r>
        <w:rPr>
          <w:bCs w:val="0"/>
          <w:szCs w:val="24"/>
        </w:rPr>
        <w:t>15.2 缺陷责任期</w:t>
      </w:r>
      <w:bookmarkEnd w:id="354"/>
      <w:bookmarkEnd w:id="355"/>
      <w:bookmarkEnd w:id="356"/>
    </w:p>
    <w:bookmarkEnd w:id="357"/>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15.2.1 缺陷责任期</w:t>
      </w:r>
      <w:r>
        <w:rPr>
          <w:rFonts w:hint="eastAsia" w:ascii="宋体" w:hAnsi="宋体"/>
          <w:kern w:val="0"/>
          <w:sz w:val="24"/>
        </w:rPr>
        <w:t>从工程通过竣工验收之日</w:t>
      </w:r>
      <w:r>
        <w:rPr>
          <w:rFonts w:ascii="宋体" w:hAnsi="宋体"/>
          <w:kern w:val="0"/>
          <w:sz w:val="24"/>
        </w:rPr>
        <w:t>起计算，合同当事人应在专用合同条款约定缺陷责任期的具体期限，但该期限最长不超过24个月。</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单位工程先于全部工程进行验收，经验收合格并交付使用的，该单位工程缺陷责任期自单位工程验收合格之日起算。</w:t>
      </w:r>
      <w:r>
        <w:rPr>
          <w:rFonts w:hint="eastAsia" w:ascii="宋体" w:hAnsi="宋体"/>
          <w:kern w:val="0"/>
          <w:sz w:val="24"/>
        </w:rPr>
        <w:t>因承包人原因导致工程无法按合同约定期限进行竣工验收的，缺陷责任期从实际通过竣工验收之日起计算。</w:t>
      </w:r>
      <w:r>
        <w:rPr>
          <w:rFonts w:ascii="宋体" w:hAnsi="宋体"/>
          <w:kern w:val="0"/>
          <w:sz w:val="24"/>
        </w:rPr>
        <w:t>因发包人原因导致工程无法按合同约定期限进行竣工验收的，</w:t>
      </w:r>
      <w:r>
        <w:rPr>
          <w:rFonts w:hint="eastAsia" w:ascii="宋体" w:hAnsi="宋体"/>
          <w:kern w:val="0"/>
          <w:sz w:val="24"/>
        </w:rPr>
        <w:t>在承包人提交竣工验收报告90天后，工程自动进入缺陷责任期</w:t>
      </w:r>
      <w:r>
        <w:rPr>
          <w:rFonts w:ascii="宋体" w:hAnsi="宋体"/>
          <w:kern w:val="0"/>
          <w:sz w:val="24"/>
        </w:rPr>
        <w:t>；发包人未经竣工验收擅自使用工程的，缺陷责任期自工程转移占有之日起开始计算。</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15.2.2</w:t>
      </w:r>
      <w:r>
        <w:rPr>
          <w:rFonts w:hint="eastAsia" w:ascii="宋体" w:hAnsi="宋体"/>
          <w:kern w:val="0"/>
          <w:sz w:val="24"/>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kern w:val="0"/>
          <w:sz w:val="24"/>
        </w:rPr>
        <w:t>发包人有权要求承</w:t>
      </w:r>
      <w:r>
        <w:rPr>
          <w:rFonts w:ascii="宋体" w:hAnsi="宋体"/>
          <w:sz w:val="24"/>
        </w:rPr>
        <w:t>包人延长缺陷责任期，</w:t>
      </w:r>
      <w:r>
        <w:rPr>
          <w:rFonts w:ascii="宋体" w:hAnsi="宋体"/>
          <w:kern w:val="0"/>
          <w:sz w:val="24"/>
        </w:rPr>
        <w:t>并应在原缺陷责任期届满前发出延长通知</w:t>
      </w:r>
      <w:r>
        <w:rPr>
          <w:rFonts w:hint="eastAsia" w:ascii="宋体" w:hAnsi="宋体"/>
          <w:kern w:val="0"/>
          <w:sz w:val="24"/>
        </w:rPr>
        <w:t>。</w:t>
      </w:r>
      <w:r>
        <w:rPr>
          <w:rFonts w:ascii="宋体" w:hAnsi="宋体"/>
          <w:sz w:val="24"/>
        </w:rPr>
        <w:t>但缺陷责任期</w:t>
      </w:r>
      <w:r>
        <w:rPr>
          <w:rFonts w:hint="eastAsia" w:ascii="宋体" w:hAnsi="宋体"/>
          <w:sz w:val="24"/>
        </w:rPr>
        <w:t>（含延长部分）</w:t>
      </w:r>
      <w:r>
        <w:rPr>
          <w:rFonts w:ascii="宋体" w:hAnsi="宋体"/>
          <w:sz w:val="24"/>
        </w:rPr>
        <w:t>最长</w:t>
      </w:r>
      <w:r>
        <w:rPr>
          <w:rFonts w:ascii="宋体" w:hAnsi="宋体"/>
          <w:kern w:val="0"/>
          <w:sz w:val="24"/>
        </w:rPr>
        <w:t>不能超过24个月。</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由他人原因造成的缺陷，发包人负责组织维修，承包人不承担费用，且发包人不得从保证金中扣除费用。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15.2.4除专用合同条款另有约定外，承包人应于缺陷责任期届满后7天内向发包人发出缺陷责任期</w:t>
      </w:r>
      <w:r>
        <w:rPr>
          <w:rFonts w:hint="eastAsia" w:ascii="宋体" w:hAnsi="宋体"/>
          <w:kern w:val="0"/>
          <w:sz w:val="24"/>
        </w:rPr>
        <w:t>届</w:t>
      </w:r>
      <w:r>
        <w:rPr>
          <w:rFonts w:ascii="宋体" w:hAnsi="宋体"/>
          <w:kern w:val="0"/>
          <w:sz w:val="24"/>
        </w:rPr>
        <w:t>满通知，发包人应在</w:t>
      </w:r>
      <w:r>
        <w:rPr>
          <w:rFonts w:hint="eastAsia" w:ascii="宋体" w:hAnsi="宋体"/>
          <w:kern w:val="0"/>
          <w:sz w:val="24"/>
        </w:rPr>
        <w:t>收</w:t>
      </w:r>
      <w:r>
        <w:rPr>
          <w:rFonts w:ascii="宋体" w:hAnsi="宋体"/>
          <w:kern w:val="0"/>
          <w:sz w:val="24"/>
        </w:rPr>
        <w:t>到缺陷责任期满通知后14天内核实承包人是否履行缺陷</w:t>
      </w:r>
      <w:r>
        <w:rPr>
          <w:rFonts w:hint="eastAsia" w:ascii="宋体" w:hAnsi="宋体"/>
          <w:kern w:val="0"/>
          <w:sz w:val="24"/>
        </w:rPr>
        <w:t>修复</w:t>
      </w:r>
      <w:r>
        <w:rPr>
          <w:rFonts w:ascii="宋体" w:hAnsi="宋体"/>
          <w:kern w:val="0"/>
          <w:sz w:val="24"/>
        </w:rPr>
        <w:t>义务，承包人未能履行缺陷</w:t>
      </w:r>
      <w:r>
        <w:rPr>
          <w:rFonts w:hint="eastAsia" w:ascii="宋体" w:hAnsi="宋体"/>
          <w:kern w:val="0"/>
          <w:sz w:val="24"/>
        </w:rPr>
        <w:t>修复</w:t>
      </w:r>
      <w:r>
        <w:rPr>
          <w:rFonts w:ascii="宋体" w:hAnsi="宋体"/>
          <w:kern w:val="0"/>
          <w:sz w:val="24"/>
        </w:rPr>
        <w:t>义务的，发包人有权扣除相应金额的维修费用。发包人应在</w:t>
      </w:r>
      <w:r>
        <w:rPr>
          <w:rFonts w:hint="eastAsia" w:ascii="宋体" w:hAnsi="宋体"/>
          <w:kern w:val="0"/>
          <w:sz w:val="24"/>
        </w:rPr>
        <w:t>收到</w:t>
      </w:r>
      <w:r>
        <w:rPr>
          <w:rFonts w:ascii="宋体" w:hAnsi="宋体"/>
          <w:kern w:val="0"/>
          <w:sz w:val="24"/>
        </w:rPr>
        <w:t>缺陷责任期</w:t>
      </w:r>
      <w:r>
        <w:rPr>
          <w:rFonts w:hint="eastAsia" w:ascii="宋体" w:hAnsi="宋体"/>
          <w:kern w:val="0"/>
          <w:sz w:val="24"/>
        </w:rPr>
        <w:t>届</w:t>
      </w:r>
      <w:r>
        <w:rPr>
          <w:rFonts w:ascii="宋体" w:hAnsi="宋体"/>
          <w:kern w:val="0"/>
          <w:sz w:val="24"/>
        </w:rPr>
        <w:t>满</w:t>
      </w:r>
      <w:r>
        <w:rPr>
          <w:rFonts w:hint="eastAsia" w:ascii="宋体" w:hAnsi="宋体"/>
          <w:kern w:val="0"/>
          <w:sz w:val="24"/>
        </w:rPr>
        <w:t>通知后</w:t>
      </w:r>
      <w:r>
        <w:rPr>
          <w:rFonts w:ascii="宋体" w:hAnsi="宋体"/>
          <w:kern w:val="0"/>
          <w:sz w:val="24"/>
        </w:rPr>
        <w:t>14天内，向承包人颁发缺陷责任期终止证</w:t>
      </w:r>
      <w:r>
        <w:rPr>
          <w:rFonts w:hint="eastAsia" w:ascii="宋体" w:hAnsi="宋体"/>
          <w:kern w:val="0"/>
          <w:sz w:val="24"/>
        </w:rPr>
        <w:t>书</w:t>
      </w:r>
      <w:r>
        <w:rPr>
          <w:rFonts w:ascii="宋体" w:hAnsi="宋体"/>
          <w:kern w:val="0"/>
          <w:sz w:val="24"/>
        </w:rPr>
        <w:t>。</w:t>
      </w:r>
    </w:p>
    <w:p>
      <w:pPr>
        <w:pStyle w:val="7"/>
        <w:spacing w:before="120" w:after="120"/>
        <w:ind w:firstLine="420"/>
        <w:rPr>
          <w:bCs w:val="0"/>
          <w:szCs w:val="24"/>
        </w:rPr>
      </w:pPr>
      <w:bookmarkStart w:id="358" w:name="_Toc18683241"/>
      <w:bookmarkStart w:id="359" w:name="_Toc337558818"/>
      <w:bookmarkStart w:id="360" w:name="_Toc296346616"/>
      <w:bookmarkStart w:id="361" w:name="_Toc296503115"/>
      <w:r>
        <w:rPr>
          <w:bCs w:val="0"/>
          <w:szCs w:val="24"/>
        </w:rPr>
        <w:t>15.3 质量保证金</w:t>
      </w:r>
      <w:bookmarkEnd w:id="358"/>
    </w:p>
    <w:bookmarkEnd w:id="359"/>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经合同当事人协商一致扣留质量保证金的，应在专用合同条款中予以明确。</w:t>
      </w:r>
    </w:p>
    <w:p>
      <w:pPr>
        <w:spacing w:line="360" w:lineRule="exact"/>
        <w:ind w:firstLine="480"/>
        <w:jc w:val="left"/>
        <w:rPr>
          <w:rFonts w:ascii="宋体" w:hAnsi="宋体"/>
          <w:kern w:val="0"/>
          <w:sz w:val="24"/>
        </w:rPr>
      </w:pPr>
      <w:r>
        <w:rPr>
          <w:rFonts w:hint="eastAsia" w:ascii="宋体" w:hAnsi="宋体"/>
          <w:sz w:val="24"/>
        </w:rPr>
        <w:t>在工程项目竣工前，承包人已经提供履约担保的，发包人不得同时预留工程质量保证金。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15.3.1 </w:t>
      </w:r>
      <w:r>
        <w:rPr>
          <w:rFonts w:hint="eastAsia" w:ascii="宋体" w:hAnsi="宋体"/>
          <w:kern w:val="0"/>
          <w:sz w:val="24"/>
        </w:rPr>
        <w:t>承包人提供</w:t>
      </w:r>
      <w:r>
        <w:rPr>
          <w:rFonts w:ascii="宋体" w:hAnsi="宋体"/>
          <w:kern w:val="0"/>
          <w:sz w:val="24"/>
        </w:rPr>
        <w:t>质量保证金的</w:t>
      </w:r>
      <w:r>
        <w:rPr>
          <w:rFonts w:hint="eastAsia" w:ascii="宋体" w:hAnsi="宋体"/>
          <w:kern w:val="0"/>
          <w:sz w:val="24"/>
        </w:rPr>
        <w:t>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承包人提供</w:t>
      </w:r>
      <w:r>
        <w:rPr>
          <w:rFonts w:ascii="宋体" w:hAnsi="宋体"/>
          <w:kern w:val="0"/>
          <w:sz w:val="24"/>
        </w:rPr>
        <w:t>质量保证金</w:t>
      </w:r>
      <w:r>
        <w:rPr>
          <w:rFonts w:hint="eastAsia" w:ascii="宋体" w:hAnsi="宋体"/>
          <w:kern w:val="0"/>
          <w:sz w:val="24"/>
        </w:rPr>
        <w:t>有</w:t>
      </w:r>
      <w:r>
        <w:rPr>
          <w:rFonts w:ascii="宋体" w:hAnsi="宋体"/>
          <w:kern w:val="0"/>
          <w:sz w:val="24"/>
        </w:rPr>
        <w:t>以下</w:t>
      </w:r>
      <w:r>
        <w:rPr>
          <w:rFonts w:hint="eastAsia" w:ascii="宋体" w:hAnsi="宋体"/>
          <w:kern w:val="0"/>
          <w:sz w:val="24"/>
        </w:rPr>
        <w:t>三种方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（1）质量保证金保函； </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w:t>
      </w:r>
      <w:r>
        <w:rPr>
          <w:rFonts w:ascii="宋体" w:hAnsi="宋体"/>
          <w:kern w:val="0"/>
          <w:sz w:val="24"/>
        </w:rPr>
        <w:t>2）相应比例的工程款；</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（3）双方约定的其他</w:t>
      </w:r>
      <w:r>
        <w:rPr>
          <w:rFonts w:hint="eastAsia" w:ascii="宋体" w:hAnsi="宋体"/>
          <w:kern w:val="0"/>
          <w:sz w:val="24"/>
        </w:rPr>
        <w:t>方</w:t>
      </w:r>
      <w:r>
        <w:rPr>
          <w:rFonts w:ascii="宋体" w:hAnsi="宋体"/>
          <w:kern w:val="0"/>
          <w:sz w:val="24"/>
        </w:rPr>
        <w:t>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除专用合同条款另有约定外，质量保证金</w:t>
      </w:r>
      <w:r>
        <w:rPr>
          <w:rFonts w:hint="eastAsia" w:ascii="宋体" w:hAnsi="宋体"/>
          <w:kern w:val="0"/>
          <w:sz w:val="24"/>
        </w:rPr>
        <w:t>原则上</w:t>
      </w:r>
      <w:r>
        <w:rPr>
          <w:rFonts w:ascii="宋体" w:hAnsi="宋体"/>
          <w:kern w:val="0"/>
          <w:sz w:val="24"/>
        </w:rPr>
        <w:t>采</w:t>
      </w:r>
      <w:r>
        <w:rPr>
          <w:rFonts w:hint="eastAsia" w:ascii="宋体" w:hAnsi="宋体"/>
          <w:kern w:val="0"/>
          <w:sz w:val="24"/>
        </w:rPr>
        <w:t>用上述</w:t>
      </w:r>
      <w:r>
        <w:rPr>
          <w:rFonts w:ascii="宋体" w:hAnsi="宋体"/>
          <w:kern w:val="0"/>
          <w:sz w:val="24"/>
        </w:rPr>
        <w:t>第（1）种</w:t>
      </w:r>
      <w:r>
        <w:rPr>
          <w:rFonts w:hint="eastAsia" w:ascii="宋体" w:hAnsi="宋体"/>
          <w:kern w:val="0"/>
          <w:sz w:val="24"/>
        </w:rPr>
        <w:t>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15.3.2 质量保证金的扣留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质量保证金</w:t>
      </w:r>
      <w:r>
        <w:rPr>
          <w:rFonts w:hint="eastAsia" w:ascii="宋体" w:hAnsi="宋体"/>
          <w:kern w:val="0"/>
          <w:sz w:val="24"/>
        </w:rPr>
        <w:t>的</w:t>
      </w:r>
      <w:r>
        <w:rPr>
          <w:rFonts w:ascii="宋体" w:hAnsi="宋体"/>
          <w:kern w:val="0"/>
          <w:sz w:val="24"/>
        </w:rPr>
        <w:t>扣留</w:t>
      </w:r>
      <w:r>
        <w:rPr>
          <w:rFonts w:hint="eastAsia" w:ascii="宋体" w:hAnsi="宋体"/>
          <w:kern w:val="0"/>
          <w:sz w:val="24"/>
        </w:rPr>
        <w:t>有</w:t>
      </w:r>
      <w:r>
        <w:rPr>
          <w:rFonts w:ascii="宋体" w:hAnsi="宋体"/>
          <w:kern w:val="0"/>
          <w:sz w:val="24"/>
        </w:rPr>
        <w:t>以下</w:t>
      </w:r>
      <w:r>
        <w:rPr>
          <w:rFonts w:hint="eastAsia" w:ascii="宋体" w:hAnsi="宋体"/>
          <w:kern w:val="0"/>
          <w:sz w:val="24"/>
        </w:rPr>
        <w:t>三</w:t>
      </w:r>
      <w:r>
        <w:rPr>
          <w:rFonts w:ascii="宋体" w:hAnsi="宋体"/>
          <w:kern w:val="0"/>
          <w:sz w:val="24"/>
        </w:rPr>
        <w:t>种</w:t>
      </w:r>
      <w:r>
        <w:rPr>
          <w:rFonts w:hint="eastAsia" w:ascii="宋体" w:hAnsi="宋体"/>
          <w:kern w:val="0"/>
          <w:sz w:val="24"/>
        </w:rPr>
        <w:t>方式</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w:t>
      </w:r>
      <w:bookmarkStart w:id="362" w:name="#go6"/>
      <w:bookmarkEnd w:id="362"/>
      <w:r>
        <w:rPr>
          <w:rFonts w:ascii="宋体" w:hAnsi="宋体"/>
          <w:kern w:val="0"/>
          <w:sz w:val="24"/>
        </w:rPr>
        <w:t>程竣工结算时一次性扣留质量保证金；</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（3）双方约定的其他扣留方式。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除专用合同条款另有约定外，质量保证金</w:t>
      </w:r>
      <w:r>
        <w:rPr>
          <w:rFonts w:hint="eastAsia" w:ascii="宋体" w:hAnsi="宋体"/>
          <w:kern w:val="0"/>
          <w:sz w:val="24"/>
        </w:rPr>
        <w:t>的</w:t>
      </w:r>
      <w:r>
        <w:rPr>
          <w:rFonts w:ascii="宋体" w:hAnsi="宋体"/>
          <w:kern w:val="0"/>
          <w:sz w:val="24"/>
        </w:rPr>
        <w:t>扣留</w:t>
      </w:r>
      <w:r>
        <w:rPr>
          <w:rFonts w:hint="eastAsia" w:ascii="宋体" w:hAnsi="宋体"/>
          <w:kern w:val="0"/>
          <w:sz w:val="24"/>
        </w:rPr>
        <w:t>原则上</w:t>
      </w:r>
      <w:r>
        <w:rPr>
          <w:rFonts w:ascii="宋体" w:hAnsi="宋体"/>
          <w:kern w:val="0"/>
          <w:sz w:val="24"/>
        </w:rPr>
        <w:t>采</w:t>
      </w:r>
      <w:r>
        <w:rPr>
          <w:rFonts w:hint="eastAsia" w:ascii="宋体" w:hAnsi="宋体"/>
          <w:kern w:val="0"/>
          <w:sz w:val="24"/>
        </w:rPr>
        <w:t>用上述</w:t>
      </w:r>
      <w:r>
        <w:rPr>
          <w:rFonts w:ascii="宋体" w:hAnsi="宋体"/>
          <w:kern w:val="0"/>
          <w:sz w:val="24"/>
        </w:rPr>
        <w:t>第（1）种方式</w:t>
      </w:r>
      <w:r>
        <w:rPr>
          <w:rFonts w:hint="eastAsia"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w:t>
      </w:r>
      <w:bookmarkStart w:id="363" w:name="#go4"/>
      <w:bookmarkEnd w:id="363"/>
      <w:r>
        <w:rPr>
          <w:rFonts w:ascii="宋体" w:hAnsi="宋体"/>
          <w:kern w:val="0"/>
          <w:sz w:val="24"/>
        </w:rPr>
        <w:t>包人累计扣留的质量保证金不得超过</w:t>
      </w:r>
      <w:r>
        <w:rPr>
          <w:rFonts w:hint="eastAsia" w:ascii="宋体" w:hAnsi="宋体"/>
          <w:kern w:val="0"/>
          <w:sz w:val="24"/>
        </w:rPr>
        <w:t>工程价款结算总额</w:t>
      </w:r>
      <w:r>
        <w:rPr>
          <w:rFonts w:ascii="宋体" w:hAnsi="宋体"/>
          <w:kern w:val="0"/>
          <w:sz w:val="24"/>
        </w:rPr>
        <w:t>的3%</w:t>
      </w:r>
      <w:r>
        <w:rPr>
          <w:rFonts w:hint="eastAsia" w:ascii="宋体" w:hAnsi="宋体"/>
          <w:kern w:val="0"/>
          <w:sz w:val="24"/>
        </w:rPr>
        <w:t>。如</w:t>
      </w:r>
      <w:r>
        <w:rPr>
          <w:rFonts w:ascii="宋体" w:hAnsi="宋体"/>
          <w:kern w:val="0"/>
          <w:sz w:val="24"/>
        </w:rPr>
        <w:t>承包人在发包人签发竣工付款证书后28天内提交质量保证金保函，发包人应同时退还扣留的作为质量保证金的工程价款</w:t>
      </w:r>
      <w:r>
        <w:rPr>
          <w:rFonts w:hint="eastAsia" w:ascii="宋体" w:hAnsi="宋体"/>
          <w:kern w:val="0"/>
          <w:sz w:val="24"/>
        </w:rPr>
        <w:t>；保函金额不得超过工程价款结算总额的3%</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发包人在退还质量保证金的同时</w:t>
      </w:r>
      <w:r>
        <w:rPr>
          <w:rFonts w:ascii="宋体" w:hAnsi="宋体"/>
          <w:kern w:val="0"/>
          <w:sz w:val="24"/>
        </w:rPr>
        <w:t>按照中国人民银行发布的同期同类贷款基准利率支付</w:t>
      </w:r>
      <w:r>
        <w:rPr>
          <w:rFonts w:hint="eastAsia" w:ascii="宋体" w:hAnsi="宋体"/>
          <w:kern w:val="0"/>
          <w:sz w:val="24"/>
        </w:rPr>
        <w:t>利息。</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15.3.3 </w:t>
      </w:r>
      <w:r>
        <w:rPr>
          <w:rFonts w:ascii="宋体" w:hAnsi="宋体"/>
          <w:sz w:val="24"/>
        </w:rPr>
        <w:t>质量保证金</w:t>
      </w:r>
      <w:r>
        <w:rPr>
          <w:rFonts w:ascii="宋体" w:hAnsi="宋体"/>
          <w:kern w:val="0"/>
          <w:sz w:val="24"/>
        </w:rPr>
        <w:t>的退还</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缺陷责任期内，承包人认真履行合同约定的责任，到期后，承包人可向发包人申请返还保证金。</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发包人和承包人对保证金预留、返还以及工程维修质量、费用有争议的，按本合同第20条约定的争议和纠纷解决程序处理</w:t>
      </w:r>
      <w:r>
        <w:rPr>
          <w:rFonts w:ascii="宋体" w:hAnsi="宋体"/>
          <w:kern w:val="0"/>
          <w:sz w:val="24"/>
        </w:rPr>
        <w:t>。</w:t>
      </w:r>
    </w:p>
    <w:p>
      <w:pPr>
        <w:pStyle w:val="7"/>
        <w:spacing w:before="120" w:after="120"/>
        <w:ind w:firstLine="420"/>
        <w:rPr>
          <w:bCs w:val="0"/>
          <w:szCs w:val="24"/>
        </w:rPr>
      </w:pPr>
      <w:bookmarkStart w:id="364" w:name="_Toc18683242"/>
      <w:bookmarkStart w:id="365" w:name="_Toc337558819"/>
      <w:r>
        <w:rPr>
          <w:bCs w:val="0"/>
          <w:szCs w:val="24"/>
        </w:rPr>
        <w:t>15.4 保修</w:t>
      </w:r>
      <w:bookmarkEnd w:id="364"/>
    </w:p>
    <w:bookmarkEnd w:id="360"/>
    <w:bookmarkEnd w:id="361"/>
    <w:bookmarkEnd w:id="365"/>
    <w:p>
      <w:pPr>
        <w:spacing w:line="360" w:lineRule="exact"/>
        <w:ind w:firstLine="480"/>
        <w:jc w:val="left"/>
        <w:rPr>
          <w:rFonts w:ascii="宋体" w:hAnsi="宋体"/>
          <w:kern w:val="0"/>
          <w:sz w:val="24"/>
        </w:rPr>
      </w:pPr>
      <w:r>
        <w:rPr>
          <w:rFonts w:ascii="宋体" w:hAnsi="宋体"/>
          <w:kern w:val="0"/>
          <w:sz w:val="24"/>
        </w:rPr>
        <w:t>15.4.1保修责任</w:t>
      </w:r>
    </w:p>
    <w:p>
      <w:pPr>
        <w:spacing w:line="360" w:lineRule="exact"/>
        <w:ind w:firstLine="480"/>
        <w:jc w:val="left"/>
        <w:rPr>
          <w:rFonts w:ascii="宋体" w:hAnsi="宋体"/>
          <w:kern w:val="0"/>
          <w:sz w:val="24"/>
        </w:rPr>
      </w:pPr>
      <w:r>
        <w:rPr>
          <w:rFonts w:ascii="宋体" w:hAnsi="宋体"/>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exact"/>
        <w:ind w:firstLine="480"/>
        <w:jc w:val="left"/>
        <w:rPr>
          <w:rFonts w:ascii="宋体" w:hAnsi="宋体"/>
          <w:sz w:val="24"/>
        </w:rPr>
      </w:pPr>
      <w:r>
        <w:rPr>
          <w:rFonts w:ascii="宋体" w:hAnsi="宋体"/>
          <w:sz w:val="24"/>
        </w:rPr>
        <w:t>发包人未经竣工验收擅自使用工程的，保修期自</w:t>
      </w:r>
      <w:r>
        <w:rPr>
          <w:rFonts w:ascii="宋体" w:hAnsi="宋体"/>
          <w:kern w:val="0"/>
          <w:sz w:val="24"/>
        </w:rPr>
        <w:t>转移占有之日起算</w:t>
      </w:r>
      <w:r>
        <w:rPr>
          <w:rFonts w:ascii="宋体" w:hAnsi="宋体"/>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15.4.2 修复费用</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保修期内，修复的费用按照以下约定处理：</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（2）保修期内，因发包人使用不当造成工程的缺陷、损坏，可以委托承包人修复，但发包人应承担修复的费用，并支付承包人合理利润；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（3）因其他原因造成工程的缺陷、损坏，可以委托承包人修复，发包人应承担修复的费用，并支付承包人合理的利润，因工程的缺陷、损坏造成的人身伤害和财产损失由责任方承担。</w:t>
      </w:r>
    </w:p>
    <w:p>
      <w:pPr>
        <w:spacing w:line="360" w:lineRule="exact"/>
        <w:ind w:firstLine="480"/>
        <w:jc w:val="left"/>
        <w:rPr>
          <w:rFonts w:ascii="宋体" w:hAnsi="宋体"/>
          <w:kern w:val="0"/>
          <w:sz w:val="24"/>
        </w:rPr>
      </w:pPr>
      <w:r>
        <w:rPr>
          <w:rFonts w:ascii="宋体" w:hAnsi="宋体"/>
          <w:kern w:val="0"/>
          <w:sz w:val="24"/>
        </w:rPr>
        <w:t>15.4.3 修复通知</w:t>
      </w:r>
    </w:p>
    <w:p>
      <w:pPr>
        <w:spacing w:line="360" w:lineRule="exact"/>
        <w:ind w:firstLine="480"/>
        <w:jc w:val="left"/>
        <w:rPr>
          <w:rFonts w:ascii="宋体" w:hAnsi="宋体"/>
          <w:kern w:val="0"/>
          <w:sz w:val="24"/>
        </w:rPr>
      </w:pPr>
      <w:r>
        <w:rPr>
          <w:rFonts w:ascii="宋体" w:hAnsi="宋体"/>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exact"/>
        <w:ind w:firstLine="480"/>
        <w:jc w:val="left"/>
        <w:rPr>
          <w:rFonts w:ascii="宋体" w:hAnsi="宋体"/>
          <w:kern w:val="0"/>
          <w:sz w:val="24"/>
        </w:rPr>
      </w:pPr>
      <w:r>
        <w:rPr>
          <w:rFonts w:ascii="宋体" w:hAnsi="宋体"/>
          <w:kern w:val="0"/>
          <w:sz w:val="24"/>
        </w:rPr>
        <w:t>15.4.4 未能修复</w:t>
      </w:r>
    </w:p>
    <w:p>
      <w:pPr>
        <w:spacing w:line="360" w:lineRule="exact"/>
        <w:ind w:firstLine="480"/>
        <w:jc w:val="left"/>
        <w:rPr>
          <w:rFonts w:ascii="宋体" w:hAnsi="宋体"/>
          <w:kern w:val="0"/>
          <w:sz w:val="24"/>
        </w:rPr>
      </w:pPr>
      <w:r>
        <w:rPr>
          <w:rFonts w:ascii="宋体" w:hAnsi="宋体"/>
          <w:kern w:val="0"/>
          <w:sz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kern w:val="0"/>
          <w:sz w:val="24"/>
        </w:rPr>
        <w:t>但修复范围超出缺陷或损坏范围的，超出范围部分的修复费用由发包人承担。</w:t>
      </w:r>
    </w:p>
    <w:p>
      <w:pPr>
        <w:spacing w:line="360" w:lineRule="exact"/>
        <w:ind w:firstLine="480"/>
        <w:jc w:val="left"/>
        <w:rPr>
          <w:rFonts w:ascii="宋体" w:hAnsi="宋体"/>
          <w:kern w:val="0"/>
          <w:sz w:val="24"/>
        </w:rPr>
      </w:pPr>
      <w:r>
        <w:rPr>
          <w:rFonts w:ascii="宋体" w:hAnsi="宋体"/>
          <w:kern w:val="0"/>
          <w:sz w:val="24"/>
        </w:rPr>
        <w:t>15.4.5 承包人出入权</w:t>
      </w:r>
    </w:p>
    <w:p>
      <w:pPr>
        <w:spacing w:line="360" w:lineRule="exact"/>
        <w:ind w:firstLine="480"/>
        <w:jc w:val="left"/>
        <w:rPr>
          <w:rFonts w:ascii="宋体" w:hAnsi="宋体"/>
          <w:kern w:val="0"/>
          <w:sz w:val="24"/>
        </w:rPr>
      </w:pPr>
      <w:r>
        <w:rPr>
          <w:rFonts w:ascii="宋体" w:hAnsi="宋体"/>
          <w:kern w:val="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ind w:left="103" w:leftChars="0" w:firstLineChars="0"/>
      </w:pPr>
      <w:bookmarkStart w:id="366" w:name="_Toc18683243"/>
      <w:bookmarkStart w:id="367" w:name="_Toc337558820"/>
      <w:r>
        <w:t>16. 违约</w:t>
      </w:r>
      <w:bookmarkEnd w:id="366"/>
    </w:p>
    <w:bookmarkEnd w:id="367"/>
    <w:p>
      <w:pPr>
        <w:pStyle w:val="7"/>
        <w:spacing w:before="120" w:after="120"/>
        <w:ind w:firstLine="420"/>
        <w:rPr>
          <w:bCs w:val="0"/>
          <w:szCs w:val="24"/>
        </w:rPr>
      </w:pPr>
      <w:bookmarkStart w:id="368" w:name="_Toc296346630"/>
      <w:bookmarkStart w:id="369" w:name="_Toc296503129"/>
      <w:bookmarkStart w:id="370" w:name="_Toc18683244"/>
      <w:bookmarkStart w:id="371" w:name="_Toc337558821"/>
      <w:r>
        <w:rPr>
          <w:bCs w:val="0"/>
          <w:szCs w:val="24"/>
        </w:rPr>
        <w:t>16.1 发</w:t>
      </w:r>
      <w:bookmarkEnd w:id="368"/>
      <w:bookmarkEnd w:id="369"/>
      <w:r>
        <w:rPr>
          <w:bCs w:val="0"/>
          <w:szCs w:val="24"/>
        </w:rPr>
        <w:t>包人违约</w:t>
      </w:r>
      <w:bookmarkEnd w:id="370"/>
    </w:p>
    <w:bookmarkEnd w:id="371"/>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16.1.1 发包人违约的情形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在合同履行过程中发生的下列情形，属于发包人违约：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（1）因发包人原因未能在计划开工日期前7天内下达开工通知的；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（2）因发包人原因未能按合同约定支付合同价款的；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（5）因发包人违反合同约定造成暂停施工的；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（6）发包人无正当理由没有在约定期限内发出复工指示，导致承包人无法复工的；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（7）发包人明确表示或者以其行为表明不履行合同主要义务的；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（8）发包人未能按照合同约定履行其他义务的。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16.1.2 发包人违约的责任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16.1.3 因发包人违约解除合同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除专用合同条款另有约定外，承包人按第16.1.1项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约定暂停施工满28天后</w:t>
      </w:r>
      <w:r>
        <w:rPr>
          <w:rFonts w:hint="eastAsia" w:ascii="宋体" w:hAnsi="宋体"/>
          <w:kern w:val="0"/>
          <w:sz w:val="24"/>
        </w:rPr>
        <w:t>，</w:t>
      </w:r>
      <w:r>
        <w:rPr>
          <w:rFonts w:ascii="宋体" w:hAnsi="宋体"/>
          <w:kern w:val="0"/>
          <w:sz w:val="24"/>
        </w:rPr>
        <w:t>发包人仍不纠正其违约行为并致使合同目的不能实现的，</w:t>
      </w:r>
      <w:r>
        <w:rPr>
          <w:rFonts w:hint="eastAsia" w:ascii="宋体" w:hAnsi="宋体"/>
          <w:kern w:val="0"/>
          <w:sz w:val="24"/>
        </w:rPr>
        <w:t>或</w:t>
      </w:r>
      <w:r>
        <w:rPr>
          <w:rFonts w:ascii="宋体" w:hAnsi="宋体"/>
          <w:kern w:val="0"/>
          <w:sz w:val="24"/>
        </w:rPr>
        <w:t>出现第16.1.1项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第（7）目约定的违约情况，承包人有权解除合同，发包人应承担由此增加的费用，并支付承包人合理的利润。</w:t>
      </w:r>
    </w:p>
    <w:p>
      <w:pPr>
        <w:autoSpaceDE w:val="0"/>
        <w:autoSpaceDN w:val="0"/>
        <w:adjustRightInd w:val="0"/>
        <w:spacing w:line="360" w:lineRule="exact"/>
        <w:ind w:firstLine="480"/>
        <w:jc w:val="left"/>
        <w:rPr>
          <w:rFonts w:ascii="宋体" w:hAnsi="宋体"/>
          <w:sz w:val="24"/>
        </w:rPr>
      </w:pPr>
      <w:r>
        <w:rPr>
          <w:rFonts w:ascii="宋体" w:hAnsi="宋体"/>
          <w:kern w:val="0"/>
          <w:sz w:val="24"/>
        </w:rPr>
        <w:t>16.1.4 因发包人违约解除合同后的付款</w:t>
      </w:r>
    </w:p>
    <w:p>
      <w:pPr>
        <w:spacing w:line="360" w:lineRule="exact"/>
        <w:ind w:firstLine="480"/>
        <w:jc w:val="left"/>
        <w:rPr>
          <w:rFonts w:ascii="宋体" w:hAnsi="宋体"/>
          <w:kern w:val="0"/>
          <w:sz w:val="24"/>
        </w:rPr>
      </w:pPr>
      <w:r>
        <w:rPr>
          <w:rFonts w:ascii="宋体" w:hAnsi="宋体"/>
          <w:kern w:val="0"/>
          <w:sz w:val="24"/>
        </w:rPr>
        <w:t>承包人按照本款约定解除合同的，发包人应在解除合同后28天内支付下列款项，并解除履约担保：</w:t>
      </w:r>
    </w:p>
    <w:p>
      <w:pPr>
        <w:spacing w:line="360" w:lineRule="exact"/>
        <w:ind w:firstLine="480"/>
        <w:jc w:val="left"/>
        <w:rPr>
          <w:rFonts w:ascii="宋体" w:hAnsi="宋体"/>
          <w:kern w:val="0"/>
          <w:sz w:val="24"/>
        </w:rPr>
      </w:pPr>
      <w:r>
        <w:rPr>
          <w:rFonts w:ascii="宋体" w:hAnsi="宋体"/>
          <w:kern w:val="0"/>
          <w:sz w:val="24"/>
        </w:rPr>
        <w:t>（1）合同解除前所完成工作的价款；</w:t>
      </w:r>
    </w:p>
    <w:p>
      <w:pPr>
        <w:spacing w:line="360" w:lineRule="exact"/>
        <w:ind w:firstLine="480"/>
        <w:jc w:val="left"/>
        <w:rPr>
          <w:rFonts w:ascii="宋体" w:hAnsi="宋体"/>
          <w:kern w:val="0"/>
          <w:sz w:val="24"/>
        </w:rPr>
      </w:pPr>
      <w:r>
        <w:rPr>
          <w:rFonts w:ascii="宋体" w:hAnsi="宋体"/>
          <w:kern w:val="0"/>
          <w:sz w:val="24"/>
        </w:rPr>
        <w:t>（2）承包人为工程施工订购并已付款的材料、工程设备和其他物品的价款；</w:t>
      </w:r>
    </w:p>
    <w:p>
      <w:pPr>
        <w:spacing w:line="360" w:lineRule="exact"/>
        <w:ind w:firstLine="480"/>
        <w:jc w:val="left"/>
        <w:rPr>
          <w:rFonts w:ascii="宋体" w:hAnsi="宋体"/>
          <w:kern w:val="0"/>
          <w:sz w:val="24"/>
        </w:rPr>
      </w:pPr>
      <w:r>
        <w:rPr>
          <w:rFonts w:ascii="宋体" w:hAnsi="宋体"/>
          <w:kern w:val="0"/>
          <w:sz w:val="24"/>
        </w:rPr>
        <w:t>（3）承包人撤离施工现场以及遣散承包人人员的款项；</w:t>
      </w:r>
    </w:p>
    <w:p>
      <w:pPr>
        <w:spacing w:line="360" w:lineRule="exact"/>
        <w:ind w:firstLine="480"/>
        <w:jc w:val="left"/>
        <w:rPr>
          <w:rFonts w:ascii="宋体" w:hAnsi="宋体"/>
          <w:kern w:val="0"/>
          <w:sz w:val="24"/>
        </w:rPr>
      </w:pPr>
      <w:r>
        <w:rPr>
          <w:rFonts w:ascii="宋体" w:hAnsi="宋体"/>
          <w:kern w:val="0"/>
          <w:sz w:val="24"/>
        </w:rPr>
        <w:t>（4）按照合同约定在合同解除前应支付的违约金；</w:t>
      </w:r>
    </w:p>
    <w:p>
      <w:pPr>
        <w:spacing w:line="360" w:lineRule="exact"/>
        <w:ind w:firstLine="480"/>
        <w:jc w:val="left"/>
        <w:rPr>
          <w:rFonts w:ascii="宋体" w:hAnsi="宋体"/>
          <w:kern w:val="0"/>
          <w:sz w:val="24"/>
        </w:rPr>
      </w:pPr>
      <w:r>
        <w:rPr>
          <w:rFonts w:ascii="宋体" w:hAnsi="宋体"/>
          <w:kern w:val="0"/>
          <w:sz w:val="24"/>
        </w:rPr>
        <w:t>（5）按照合同约定应当支付给承包人的其他款项；</w:t>
      </w:r>
    </w:p>
    <w:p>
      <w:pPr>
        <w:spacing w:line="360" w:lineRule="exact"/>
        <w:ind w:firstLine="480"/>
        <w:jc w:val="left"/>
        <w:rPr>
          <w:rFonts w:ascii="宋体" w:hAnsi="宋体"/>
          <w:kern w:val="0"/>
          <w:sz w:val="24"/>
        </w:rPr>
      </w:pPr>
      <w:r>
        <w:rPr>
          <w:rFonts w:ascii="宋体" w:hAnsi="宋体"/>
          <w:kern w:val="0"/>
          <w:sz w:val="24"/>
        </w:rPr>
        <w:t>（6）按照合同约定应退还的质量保证金；</w:t>
      </w:r>
    </w:p>
    <w:p>
      <w:pPr>
        <w:spacing w:line="360" w:lineRule="exact"/>
        <w:ind w:firstLine="480"/>
        <w:jc w:val="left"/>
        <w:rPr>
          <w:rFonts w:ascii="宋体" w:hAnsi="宋体"/>
          <w:kern w:val="0"/>
          <w:sz w:val="24"/>
        </w:rPr>
      </w:pPr>
      <w:r>
        <w:rPr>
          <w:rFonts w:ascii="宋体" w:hAnsi="宋体"/>
          <w:kern w:val="0"/>
          <w:sz w:val="24"/>
        </w:rPr>
        <w:t>（7）因解除合同给承包人造成的损失。</w:t>
      </w:r>
    </w:p>
    <w:p>
      <w:pPr>
        <w:spacing w:line="360" w:lineRule="exact"/>
        <w:ind w:firstLine="480"/>
        <w:jc w:val="left"/>
        <w:rPr>
          <w:rFonts w:ascii="宋体" w:hAnsi="宋体"/>
          <w:kern w:val="0"/>
          <w:sz w:val="24"/>
        </w:rPr>
      </w:pPr>
      <w:r>
        <w:rPr>
          <w:rFonts w:ascii="宋体" w:hAnsi="宋体"/>
          <w:kern w:val="0"/>
          <w:sz w:val="24"/>
        </w:rPr>
        <w:t>合同当事人未能就解除合同后的结清达成一致的，按照第20条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spacing w:line="360" w:lineRule="exact"/>
        <w:ind w:firstLine="480"/>
        <w:jc w:val="left"/>
        <w:rPr>
          <w:rFonts w:ascii="宋体" w:hAnsi="宋体"/>
          <w:kern w:val="0"/>
          <w:sz w:val="24"/>
        </w:rPr>
      </w:pPr>
      <w:r>
        <w:rPr>
          <w:rFonts w:ascii="宋体" w:hAnsi="宋体"/>
          <w:kern w:val="0"/>
          <w:sz w:val="24"/>
        </w:rPr>
        <w:t>承包人应妥善做好已完工程和与工程有关的已购材料、工程设备的保护和移交工作，并将施工设备和人员撤出施工现场，发包人应为承包人撤出提供必要条件。</w:t>
      </w:r>
    </w:p>
    <w:p>
      <w:pPr>
        <w:pStyle w:val="7"/>
        <w:spacing w:before="120" w:after="120"/>
        <w:ind w:firstLine="420"/>
        <w:rPr>
          <w:bCs w:val="0"/>
          <w:szCs w:val="24"/>
        </w:rPr>
      </w:pPr>
      <w:bookmarkStart w:id="372" w:name="_Toc18683245"/>
      <w:bookmarkStart w:id="373" w:name="_Toc337558822"/>
      <w:bookmarkStart w:id="374" w:name="_Toc296503131"/>
      <w:bookmarkStart w:id="375" w:name="_Toc296346632"/>
      <w:r>
        <w:rPr>
          <w:bCs w:val="0"/>
          <w:szCs w:val="24"/>
        </w:rPr>
        <w:t>16.2 承包人违约</w:t>
      </w:r>
      <w:bookmarkEnd w:id="372"/>
    </w:p>
    <w:bookmarkEnd w:id="373"/>
    <w:bookmarkEnd w:id="374"/>
    <w:bookmarkEnd w:id="375"/>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16.2.1 承包人违约的情形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在合同履行过程中发生的下列情形，属于承包人违约：</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（1）承包人违反合同约定进行转包或违法分包的；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（2）承包人违反合同约定采购和使用不合格的材料和工程设备的；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（3）因承包人原因导致工程质量不符合合同要求的；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（4）承包人违反第8.9款</w:t>
      </w:r>
      <w:r>
        <w:rPr>
          <w:rFonts w:hint="eastAsia" w:ascii="宋体" w:hAnsi="宋体"/>
          <w:kern w:val="0"/>
          <w:sz w:val="24"/>
        </w:rPr>
        <w:t>〔</w:t>
      </w:r>
      <w:r>
        <w:rPr>
          <w:rFonts w:ascii="宋体" w:hAnsi="宋体"/>
          <w:kern w:val="0"/>
          <w:sz w:val="24"/>
        </w:rPr>
        <w:t>材料与设备专用</w:t>
      </w:r>
      <w:r>
        <w:rPr>
          <w:rFonts w:hint="eastAsia" w:ascii="宋体" w:hAnsi="宋体"/>
          <w:kern w:val="0"/>
          <w:sz w:val="24"/>
        </w:rPr>
        <w:t>要求〕</w:t>
      </w:r>
      <w:r>
        <w:rPr>
          <w:rFonts w:ascii="宋体" w:hAnsi="宋体"/>
          <w:kern w:val="0"/>
          <w:sz w:val="24"/>
        </w:rPr>
        <w:t>的约定，未经批准，私自将已按照合同约定进入施工现场的材料或设备撤离施工现场的；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（5）承包人未能按施工进度计划及时完成合同约定的工作，造成工期延误的；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（6）承包人在缺陷责任期及保修期内，未能在合理期限对工程缺陷进行修复，或拒绝按发包人要求进行修复的；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（7）承包人明确表示或者以其行为表明不履行合同主要义务的；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（8）承包人未能按照合同约定履行其他义务的。</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承包人发生除本项第（7）目约定以外的其他违约情况时，监理人可向承包人发出整改通知，要求其在指定的期限内改正。</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16.2.2 承包人违约的责任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承包人应承担因其违约行为而增加的费用</w:t>
      </w:r>
      <w:r>
        <w:rPr>
          <w:rFonts w:hint="eastAsia" w:ascii="宋体" w:hAnsi="宋体"/>
          <w:kern w:val="0"/>
          <w:sz w:val="24"/>
        </w:rPr>
        <w:t>和（或）延误的</w:t>
      </w:r>
      <w:r>
        <w:rPr>
          <w:rFonts w:ascii="宋体" w:hAnsi="宋体"/>
          <w:kern w:val="0"/>
          <w:sz w:val="24"/>
        </w:rPr>
        <w:t>工期。此外，合同当事人可在专用合同条款中另行约定承包人违约责任的承担方式和计算方法。</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16.2.3 因承包人违约解除合同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除专用合同条款另有约定外，出现第16.2.1项</w:t>
      </w:r>
      <w:r>
        <w:rPr>
          <w:rFonts w:hint="eastAsia" w:ascii="宋体" w:hAnsi="宋体"/>
          <w:kern w:val="0"/>
          <w:sz w:val="24"/>
        </w:rPr>
        <w:t>〔</w:t>
      </w:r>
      <w:r>
        <w:rPr>
          <w:rFonts w:ascii="宋体" w:hAnsi="宋体"/>
          <w:kern w:val="0"/>
          <w:sz w:val="24"/>
        </w:rPr>
        <w:t>承包人违约的情形</w:t>
      </w:r>
      <w:r>
        <w:rPr>
          <w:rFonts w:hint="eastAsia" w:ascii="宋体" w:hAnsi="宋体"/>
          <w:kern w:val="0"/>
          <w:sz w:val="24"/>
        </w:rPr>
        <w:t>〕</w:t>
      </w:r>
      <w:r>
        <w:rPr>
          <w:rFonts w:ascii="宋体" w:hAnsi="宋体"/>
          <w:kern w:val="0"/>
          <w:sz w:val="24"/>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kern w:val="0"/>
          <w:sz w:val="24"/>
        </w:rPr>
        <w:t>合同当事人应在专用合同条款约定相应费用的承担方式。</w:t>
      </w:r>
      <w:r>
        <w:rPr>
          <w:rFonts w:ascii="宋体" w:hAnsi="宋体"/>
          <w:kern w:val="0"/>
          <w:sz w:val="24"/>
        </w:rPr>
        <w:t>发包人</w:t>
      </w:r>
      <w:r>
        <w:rPr>
          <w:rFonts w:hint="eastAsia" w:ascii="宋体" w:hAnsi="宋体"/>
          <w:kern w:val="0"/>
          <w:sz w:val="24"/>
        </w:rPr>
        <w:t>继续使用的</w:t>
      </w:r>
      <w:r>
        <w:rPr>
          <w:rFonts w:ascii="宋体" w:hAnsi="宋体"/>
          <w:kern w:val="0"/>
          <w:sz w:val="24"/>
        </w:rPr>
        <w:t>行为不免除或减轻承包人应承担的违约责任。</w:t>
      </w:r>
    </w:p>
    <w:p>
      <w:pPr>
        <w:spacing w:line="360" w:lineRule="exact"/>
        <w:ind w:firstLine="480"/>
        <w:jc w:val="left"/>
        <w:rPr>
          <w:rFonts w:ascii="宋体" w:hAnsi="宋体"/>
          <w:kern w:val="0"/>
          <w:sz w:val="24"/>
        </w:rPr>
      </w:pPr>
      <w:r>
        <w:rPr>
          <w:rFonts w:ascii="宋体" w:hAnsi="宋体"/>
          <w:kern w:val="0"/>
          <w:sz w:val="24"/>
        </w:rPr>
        <w:t>16.2.4因承包人违约解除合同后的处理</w:t>
      </w:r>
    </w:p>
    <w:p>
      <w:pPr>
        <w:spacing w:line="360" w:lineRule="exact"/>
        <w:ind w:firstLine="480"/>
        <w:jc w:val="left"/>
        <w:rPr>
          <w:rFonts w:ascii="宋体" w:hAnsi="宋体"/>
          <w:kern w:val="0"/>
          <w:sz w:val="24"/>
        </w:rPr>
      </w:pPr>
      <w:r>
        <w:rPr>
          <w:rFonts w:ascii="宋体" w:hAnsi="宋体"/>
          <w:kern w:val="0"/>
          <w:sz w:val="24"/>
        </w:rPr>
        <w:t>因承包人原因导致合同解除的，则合同当事人应在合同解除后28天内完成估价、付款和清算，并按以下约定执行：</w:t>
      </w:r>
    </w:p>
    <w:p>
      <w:pPr>
        <w:spacing w:line="360" w:lineRule="exact"/>
        <w:ind w:firstLine="480"/>
        <w:jc w:val="left"/>
        <w:rPr>
          <w:rFonts w:ascii="宋体" w:hAnsi="宋体"/>
          <w:kern w:val="0"/>
          <w:sz w:val="24"/>
        </w:rPr>
      </w:pPr>
      <w:r>
        <w:rPr>
          <w:rFonts w:ascii="宋体" w:hAnsi="宋体"/>
          <w:kern w:val="0"/>
          <w:sz w:val="24"/>
        </w:rPr>
        <w:t>（1）合同解除后，按第4.4款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商定或确定承包人实际完成工作对应的合同价款，以及承包人已提供的材料、工程设备、施工设备和临时工程等的价值；</w:t>
      </w:r>
    </w:p>
    <w:p>
      <w:pPr>
        <w:spacing w:line="360" w:lineRule="exact"/>
        <w:ind w:firstLine="480"/>
        <w:jc w:val="left"/>
        <w:rPr>
          <w:rFonts w:ascii="宋体" w:hAnsi="宋体"/>
          <w:kern w:val="0"/>
          <w:sz w:val="24"/>
        </w:rPr>
      </w:pPr>
      <w:r>
        <w:rPr>
          <w:rFonts w:ascii="宋体" w:hAnsi="宋体"/>
          <w:kern w:val="0"/>
          <w:sz w:val="24"/>
        </w:rPr>
        <w:t>（2）合同解除后，承包人应支付的违约金；</w:t>
      </w:r>
    </w:p>
    <w:p>
      <w:pPr>
        <w:spacing w:line="360" w:lineRule="exact"/>
        <w:ind w:firstLine="480"/>
        <w:jc w:val="left"/>
        <w:rPr>
          <w:rFonts w:ascii="宋体" w:hAnsi="宋体"/>
          <w:kern w:val="0"/>
          <w:sz w:val="24"/>
        </w:rPr>
      </w:pPr>
      <w:r>
        <w:rPr>
          <w:rFonts w:ascii="宋体" w:hAnsi="宋体"/>
          <w:kern w:val="0"/>
          <w:sz w:val="24"/>
        </w:rPr>
        <w:t>（3）合同解除后，因解除合同给发包人造成的损失；</w:t>
      </w:r>
    </w:p>
    <w:p>
      <w:pPr>
        <w:spacing w:line="360" w:lineRule="exact"/>
        <w:ind w:firstLine="480"/>
        <w:jc w:val="left"/>
        <w:rPr>
          <w:rFonts w:ascii="宋体" w:hAnsi="宋体"/>
          <w:kern w:val="0"/>
          <w:sz w:val="24"/>
        </w:rPr>
      </w:pPr>
      <w:r>
        <w:rPr>
          <w:rFonts w:ascii="宋体" w:hAnsi="宋体"/>
          <w:kern w:val="0"/>
          <w:sz w:val="24"/>
        </w:rPr>
        <w:t>（4）合同解除后，承包人应按照发包人要求和监理人的指示完成现场的清理和撤离；</w:t>
      </w:r>
    </w:p>
    <w:p>
      <w:pPr>
        <w:spacing w:line="360" w:lineRule="exact"/>
        <w:ind w:firstLine="480"/>
        <w:jc w:val="left"/>
        <w:rPr>
          <w:rFonts w:ascii="宋体" w:hAnsi="宋体"/>
          <w:kern w:val="0"/>
          <w:sz w:val="24"/>
        </w:rPr>
      </w:pPr>
      <w:r>
        <w:rPr>
          <w:rFonts w:ascii="宋体" w:hAnsi="宋体"/>
          <w:kern w:val="0"/>
          <w:sz w:val="24"/>
        </w:rPr>
        <w:t>（5）发包人和承包人应在合同解除后进行清算，出具最终结清付款证书，结清全部款项。</w:t>
      </w:r>
    </w:p>
    <w:p>
      <w:pPr>
        <w:spacing w:line="360" w:lineRule="exact"/>
        <w:ind w:firstLine="480"/>
        <w:jc w:val="left"/>
        <w:rPr>
          <w:rFonts w:ascii="宋体" w:hAnsi="宋体"/>
          <w:kern w:val="0"/>
          <w:sz w:val="24"/>
        </w:rPr>
      </w:pPr>
      <w:r>
        <w:rPr>
          <w:rFonts w:hint="eastAsia" w:ascii="宋体" w:hAnsi="宋体"/>
          <w:kern w:val="0"/>
          <w:sz w:val="24"/>
        </w:rPr>
        <w:t>因承包人违约解除合同的，</w:t>
      </w:r>
      <w:r>
        <w:rPr>
          <w:rFonts w:ascii="宋体" w:hAnsi="宋体"/>
          <w:kern w:val="0"/>
          <w:sz w:val="24"/>
        </w:rPr>
        <w:t>发包人有权暂停对承包人的付款，查清各项付款和已扣款项。发包人和承包人未能就合同解除后的清算和款项支付达成一致的，按照第20条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spacing w:line="360" w:lineRule="exact"/>
        <w:ind w:firstLine="480"/>
        <w:jc w:val="left"/>
        <w:rPr>
          <w:rFonts w:ascii="宋体" w:hAnsi="宋体"/>
          <w:kern w:val="0"/>
          <w:sz w:val="24"/>
        </w:rPr>
      </w:pPr>
      <w:r>
        <w:rPr>
          <w:rFonts w:ascii="宋体" w:hAnsi="宋体"/>
          <w:kern w:val="0"/>
          <w:sz w:val="24"/>
        </w:rPr>
        <w:t>16.2.5采购合同权益转让</w:t>
      </w:r>
    </w:p>
    <w:p>
      <w:pPr>
        <w:spacing w:line="360" w:lineRule="exact"/>
        <w:ind w:firstLine="480"/>
        <w:jc w:val="left"/>
        <w:rPr>
          <w:rFonts w:ascii="宋体" w:hAnsi="宋体"/>
          <w:kern w:val="0"/>
          <w:sz w:val="24"/>
        </w:rPr>
      </w:pPr>
      <w:r>
        <w:rPr>
          <w:rFonts w:ascii="宋体" w:hAnsi="宋体"/>
          <w:kern w:val="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120" w:after="120"/>
        <w:ind w:firstLine="420"/>
        <w:rPr>
          <w:bCs w:val="0"/>
          <w:szCs w:val="24"/>
        </w:rPr>
      </w:pPr>
      <w:bookmarkStart w:id="376" w:name="_Toc18683246"/>
      <w:r>
        <w:rPr>
          <w:bCs w:val="0"/>
          <w:szCs w:val="24"/>
        </w:rPr>
        <w:t>16.3 第三人造成的违约</w:t>
      </w:r>
      <w:bookmarkEnd w:id="376"/>
    </w:p>
    <w:p>
      <w:pPr>
        <w:spacing w:line="360" w:lineRule="exact"/>
        <w:ind w:firstLine="480"/>
        <w:jc w:val="left"/>
        <w:rPr>
          <w:rFonts w:ascii="宋体" w:hAnsi="宋体"/>
          <w:kern w:val="0"/>
          <w:sz w:val="24"/>
        </w:rPr>
      </w:pPr>
      <w:r>
        <w:rPr>
          <w:rFonts w:ascii="宋体" w:hAnsi="宋体"/>
          <w:kern w:val="0"/>
          <w:sz w:val="24"/>
        </w:rPr>
        <w:t>在履行合同过程中，一方当事人因第三人的原因造成违约的，应当向对方当事人承担违约责任。一方当事人和第三人之间的纠纷，依照法律规定或者按照约定解决。</w:t>
      </w:r>
    </w:p>
    <w:p>
      <w:pPr>
        <w:pStyle w:val="6"/>
        <w:ind w:left="103" w:leftChars="0" w:firstLineChars="0"/>
      </w:pPr>
      <w:bookmarkStart w:id="377" w:name="_Toc296503116"/>
      <w:bookmarkStart w:id="378" w:name="_Toc296346617"/>
      <w:bookmarkStart w:id="379" w:name="_Toc337558823"/>
      <w:bookmarkStart w:id="380" w:name="_Toc18683247"/>
      <w:r>
        <w:t>17. 不可抗力</w:t>
      </w:r>
      <w:bookmarkEnd w:id="377"/>
      <w:bookmarkEnd w:id="378"/>
      <w:bookmarkEnd w:id="379"/>
      <w:bookmarkEnd w:id="380"/>
    </w:p>
    <w:p>
      <w:pPr>
        <w:pStyle w:val="7"/>
        <w:spacing w:before="120" w:after="120"/>
        <w:ind w:firstLine="420"/>
        <w:rPr>
          <w:bCs w:val="0"/>
          <w:szCs w:val="24"/>
        </w:rPr>
      </w:pPr>
      <w:bookmarkStart w:id="381" w:name="_Toc18683248"/>
      <w:bookmarkStart w:id="382" w:name="_Toc296346618"/>
      <w:bookmarkStart w:id="383" w:name="_Toc296503117"/>
      <w:bookmarkStart w:id="384" w:name="_Toc337558824"/>
      <w:r>
        <w:rPr>
          <w:bCs w:val="0"/>
          <w:szCs w:val="24"/>
        </w:rPr>
        <w:t>17.1 不可抗力的确认</w:t>
      </w:r>
      <w:bookmarkEnd w:id="381"/>
    </w:p>
    <w:bookmarkEnd w:id="382"/>
    <w:bookmarkEnd w:id="383"/>
    <w:bookmarkEnd w:id="384"/>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的约定处理。发生争议时，按第20条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的约定处理。</w:t>
      </w:r>
    </w:p>
    <w:p>
      <w:pPr>
        <w:pStyle w:val="7"/>
        <w:spacing w:before="120" w:after="120"/>
        <w:ind w:firstLine="420"/>
        <w:rPr>
          <w:bCs w:val="0"/>
          <w:szCs w:val="24"/>
        </w:rPr>
      </w:pPr>
      <w:bookmarkStart w:id="385" w:name="_Toc18683249"/>
      <w:bookmarkStart w:id="386" w:name="_Toc296503118"/>
      <w:bookmarkStart w:id="387" w:name="_Toc337558825"/>
      <w:bookmarkStart w:id="388" w:name="_Toc296346619"/>
      <w:r>
        <w:rPr>
          <w:bCs w:val="0"/>
          <w:szCs w:val="24"/>
        </w:rPr>
        <w:t>17.2 不可抗力的通知</w:t>
      </w:r>
      <w:bookmarkEnd w:id="385"/>
    </w:p>
    <w:bookmarkEnd w:id="386"/>
    <w:bookmarkEnd w:id="387"/>
    <w:bookmarkEnd w:id="388"/>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合同</w:t>
      </w:r>
      <w:r>
        <w:rPr>
          <w:rFonts w:ascii="宋体" w:hAnsi="宋体"/>
          <w:kern w:val="0"/>
          <w:sz w:val="24"/>
        </w:rPr>
        <w:t>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120" w:after="120"/>
        <w:ind w:firstLine="420"/>
        <w:rPr>
          <w:bCs w:val="0"/>
          <w:szCs w:val="24"/>
        </w:rPr>
      </w:pPr>
      <w:bookmarkStart w:id="389" w:name="_Toc18683250"/>
      <w:bookmarkStart w:id="390" w:name="_Toc296346620"/>
      <w:bookmarkStart w:id="391" w:name="_Toc337558826"/>
      <w:bookmarkStart w:id="392" w:name="_Toc296503119"/>
      <w:r>
        <w:rPr>
          <w:bCs w:val="0"/>
          <w:szCs w:val="24"/>
        </w:rPr>
        <w:t>17.3 不可抗力后果的承担</w:t>
      </w:r>
      <w:bookmarkEnd w:id="389"/>
    </w:p>
    <w:bookmarkEnd w:id="390"/>
    <w:bookmarkEnd w:id="391"/>
    <w:bookmarkEnd w:id="392"/>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17.3.1 </w:t>
      </w:r>
      <w:r>
        <w:rPr>
          <w:rFonts w:hint="eastAsia" w:ascii="宋体" w:hAnsi="宋体"/>
          <w:kern w:val="0"/>
          <w:sz w:val="24"/>
        </w:rPr>
        <w:t>不可抗力引起的后果及造成的损失由合同当事人按照法律规定及合同约定各自承担。</w:t>
      </w:r>
      <w:r>
        <w:rPr>
          <w:rFonts w:ascii="宋体" w:hAnsi="宋体"/>
          <w:kern w:val="0"/>
          <w:sz w:val="24"/>
        </w:rPr>
        <w:t>不可抗力发生前已完</w:t>
      </w:r>
      <w:r>
        <w:rPr>
          <w:rFonts w:hint="eastAsia" w:ascii="宋体" w:hAnsi="宋体"/>
          <w:kern w:val="0"/>
          <w:sz w:val="24"/>
        </w:rPr>
        <w:t>成的</w:t>
      </w:r>
      <w:r>
        <w:rPr>
          <w:rFonts w:ascii="宋体" w:hAnsi="宋体"/>
          <w:kern w:val="0"/>
          <w:sz w:val="24"/>
        </w:rPr>
        <w:t>工程应当按照合同约定进行计量</w:t>
      </w:r>
      <w:r>
        <w:rPr>
          <w:rFonts w:hint="eastAsia" w:ascii="宋体" w:hAnsi="宋体"/>
          <w:kern w:val="0"/>
          <w:sz w:val="24"/>
        </w:rPr>
        <w:t>支付</w:t>
      </w:r>
      <w:r>
        <w:rPr>
          <w:rFonts w:ascii="宋体" w:hAnsi="宋体"/>
          <w:kern w:val="0"/>
          <w:sz w:val="24"/>
        </w:rPr>
        <w:t>。</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17.3.2 不可抗力导致的人员伤亡、财产损失、费用增加和（或）工期延误等后果，由合同当事人按以下原则承担：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（1）永久工程、已运至施工现场的材料和工程设备的损坏，以及因工程损坏造成的第三人人员伤亡和财产损失由发包人承担；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（2）承包人施工设备的损坏由承包人承担；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（3）发包人和承包人承担各自人员伤亡和财产的损失；</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（5）因不可抗力引起或将引起工期延误，发包人要求赶工的，由此增加的赶工费用由发包人承担；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（6）承包人在停工期间按照发包人要求照管、清理和修复工程的费用由发包人承担。</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因合同一方迟延履行合同义务，在迟延履行期间遭遇不可抗力的，不免除其违约责任。</w:t>
      </w:r>
    </w:p>
    <w:p>
      <w:pPr>
        <w:pStyle w:val="7"/>
        <w:spacing w:before="120" w:after="120"/>
        <w:ind w:firstLine="420"/>
        <w:rPr>
          <w:bCs w:val="0"/>
          <w:szCs w:val="24"/>
        </w:rPr>
      </w:pPr>
      <w:bookmarkStart w:id="393" w:name="_Toc18683251"/>
      <w:bookmarkStart w:id="394" w:name="_Toc337558827"/>
      <w:r>
        <w:rPr>
          <w:bCs w:val="0"/>
          <w:szCs w:val="24"/>
        </w:rPr>
        <w:t>17.4 因不可抗力解除合同</w:t>
      </w:r>
      <w:bookmarkEnd w:id="393"/>
    </w:p>
    <w:bookmarkEnd w:id="394"/>
    <w:p>
      <w:pPr>
        <w:spacing w:line="360" w:lineRule="exact"/>
        <w:ind w:firstLine="480"/>
        <w:jc w:val="left"/>
        <w:rPr>
          <w:rFonts w:ascii="宋体" w:hAnsi="宋体"/>
          <w:kern w:val="0"/>
          <w:sz w:val="24"/>
        </w:rPr>
      </w:pPr>
      <w:r>
        <w:rPr>
          <w:rFonts w:ascii="宋体" w:hAnsi="宋体"/>
          <w:kern w:val="0"/>
          <w:sz w:val="24"/>
        </w:rPr>
        <w:t>因不可抗力导致合同无法履行连续超过84天或累计超过140天的，发包人和承包人均有权解除合同。合同解除后，由双方当事人按照第4.4款</w:t>
      </w:r>
      <w:r>
        <w:rPr>
          <w:rFonts w:hint="eastAsia" w:ascii="宋体" w:hAnsi="宋体"/>
          <w:kern w:val="0"/>
          <w:sz w:val="24"/>
        </w:rPr>
        <w:t>〔</w:t>
      </w:r>
      <w:r>
        <w:rPr>
          <w:rFonts w:ascii="宋体" w:hAnsi="宋体"/>
          <w:kern w:val="0"/>
          <w:sz w:val="24"/>
        </w:rPr>
        <w:t>商定或确定</w:t>
      </w:r>
      <w:r>
        <w:rPr>
          <w:rFonts w:hint="eastAsia" w:ascii="宋体" w:hAnsi="宋体"/>
          <w:kern w:val="0"/>
          <w:sz w:val="24"/>
        </w:rPr>
        <w:t>〕</w:t>
      </w:r>
      <w:r>
        <w:rPr>
          <w:rFonts w:ascii="宋体" w:hAnsi="宋体"/>
          <w:kern w:val="0"/>
          <w:sz w:val="24"/>
        </w:rPr>
        <w:t>商定或确定发包人应支付的款项，该款项包括：</w:t>
      </w:r>
    </w:p>
    <w:p>
      <w:pPr>
        <w:spacing w:line="360" w:lineRule="exact"/>
        <w:ind w:firstLine="480"/>
        <w:jc w:val="left"/>
        <w:rPr>
          <w:rFonts w:ascii="宋体" w:hAnsi="宋体"/>
          <w:kern w:val="0"/>
          <w:sz w:val="24"/>
        </w:rPr>
      </w:pPr>
      <w:r>
        <w:rPr>
          <w:rFonts w:ascii="宋体" w:hAnsi="宋体"/>
          <w:kern w:val="0"/>
          <w:sz w:val="24"/>
        </w:rPr>
        <w:t>（1）合同解除前承包人已完成工作的价款；</w:t>
      </w:r>
    </w:p>
    <w:p>
      <w:pPr>
        <w:spacing w:line="360" w:lineRule="exact"/>
        <w:ind w:firstLine="480"/>
        <w:jc w:val="left"/>
        <w:rPr>
          <w:rFonts w:ascii="宋体" w:hAnsi="宋体"/>
          <w:kern w:val="0"/>
          <w:sz w:val="24"/>
        </w:rPr>
      </w:pPr>
      <w:r>
        <w:rPr>
          <w:rFonts w:ascii="宋体" w:hAnsi="宋体"/>
          <w:kern w:val="0"/>
          <w:sz w:val="24"/>
        </w:rPr>
        <w:t>（2）承包人为工程订购的并已交付给承包人，或承包人有责任接受交付的材料、工程设备和其他物品的价款；</w:t>
      </w:r>
    </w:p>
    <w:p>
      <w:pPr>
        <w:spacing w:line="360" w:lineRule="exact"/>
        <w:ind w:firstLine="480"/>
        <w:jc w:val="left"/>
        <w:rPr>
          <w:rFonts w:ascii="宋体" w:hAnsi="宋体"/>
          <w:kern w:val="0"/>
          <w:sz w:val="24"/>
        </w:rPr>
      </w:pPr>
      <w:r>
        <w:rPr>
          <w:rFonts w:ascii="宋体" w:hAnsi="宋体"/>
          <w:kern w:val="0"/>
          <w:sz w:val="24"/>
        </w:rPr>
        <w:t>（3）发包人要求承包人退货或解除订货合同而产生的费用，或因不能退货或解除合同而产生的损失；</w:t>
      </w:r>
    </w:p>
    <w:p>
      <w:pPr>
        <w:spacing w:line="360" w:lineRule="exact"/>
        <w:ind w:firstLine="480"/>
        <w:jc w:val="left"/>
        <w:rPr>
          <w:rFonts w:ascii="宋体" w:hAnsi="宋体"/>
          <w:kern w:val="0"/>
          <w:sz w:val="24"/>
        </w:rPr>
      </w:pPr>
      <w:r>
        <w:rPr>
          <w:rFonts w:ascii="宋体" w:hAnsi="宋体"/>
          <w:kern w:val="0"/>
          <w:sz w:val="24"/>
        </w:rPr>
        <w:t>（4）承包人撤离施工现场以及遣散承包人人员的费用；</w:t>
      </w:r>
    </w:p>
    <w:p>
      <w:pPr>
        <w:spacing w:line="360" w:lineRule="exact"/>
        <w:ind w:firstLine="480"/>
        <w:jc w:val="left"/>
        <w:rPr>
          <w:rFonts w:ascii="宋体" w:hAnsi="宋体"/>
          <w:kern w:val="0"/>
          <w:sz w:val="24"/>
        </w:rPr>
      </w:pPr>
      <w:r>
        <w:rPr>
          <w:rFonts w:ascii="宋体" w:hAnsi="宋体"/>
          <w:kern w:val="0"/>
          <w:sz w:val="24"/>
        </w:rPr>
        <w:t>（5）按照合同约定在合同解除前应支付给承包人的其他款项；</w:t>
      </w:r>
    </w:p>
    <w:p>
      <w:pPr>
        <w:spacing w:line="360" w:lineRule="exact"/>
        <w:ind w:firstLine="480"/>
        <w:jc w:val="left"/>
        <w:rPr>
          <w:rFonts w:ascii="宋体" w:hAnsi="宋体"/>
          <w:kern w:val="0"/>
          <w:sz w:val="24"/>
        </w:rPr>
      </w:pPr>
      <w:r>
        <w:rPr>
          <w:rFonts w:ascii="宋体" w:hAnsi="宋体"/>
          <w:kern w:val="0"/>
          <w:sz w:val="24"/>
        </w:rPr>
        <w:t>（6）扣减承包人按照合同约定应向发包人支付的款项；</w:t>
      </w:r>
    </w:p>
    <w:p>
      <w:pPr>
        <w:spacing w:line="360" w:lineRule="exact"/>
        <w:ind w:firstLine="480"/>
        <w:jc w:val="left"/>
        <w:rPr>
          <w:rFonts w:ascii="宋体" w:hAnsi="宋体"/>
          <w:kern w:val="0"/>
          <w:sz w:val="24"/>
        </w:rPr>
      </w:pPr>
      <w:r>
        <w:rPr>
          <w:rFonts w:ascii="宋体" w:hAnsi="宋体"/>
          <w:kern w:val="0"/>
          <w:sz w:val="24"/>
        </w:rPr>
        <w:t>（7）双方商定或确定的其他款项。</w:t>
      </w:r>
    </w:p>
    <w:p>
      <w:pPr>
        <w:spacing w:line="360" w:lineRule="exact"/>
        <w:ind w:firstLine="480"/>
        <w:jc w:val="left"/>
        <w:rPr>
          <w:rFonts w:ascii="宋体" w:hAnsi="宋体"/>
          <w:kern w:val="0"/>
          <w:sz w:val="24"/>
        </w:rPr>
      </w:pPr>
      <w:r>
        <w:rPr>
          <w:rFonts w:ascii="宋体" w:hAnsi="宋体"/>
          <w:kern w:val="0"/>
          <w:sz w:val="24"/>
        </w:rPr>
        <w:t>除专用合同条款另有约定外，合同解除后，发包人应在商定或确定上述款项后28天内完成上述款项的支付。</w:t>
      </w:r>
    </w:p>
    <w:p>
      <w:pPr>
        <w:pStyle w:val="6"/>
        <w:ind w:left="103" w:leftChars="0" w:firstLineChars="0"/>
      </w:pPr>
      <w:bookmarkStart w:id="395" w:name="_Toc18683252"/>
      <w:bookmarkStart w:id="396" w:name="_Toc296346621"/>
      <w:bookmarkStart w:id="397" w:name="_Toc296503120"/>
      <w:bookmarkStart w:id="398" w:name="_Toc337558828"/>
      <w:r>
        <w:t>18. 保险</w:t>
      </w:r>
      <w:bookmarkEnd w:id="395"/>
    </w:p>
    <w:bookmarkEnd w:id="396"/>
    <w:bookmarkEnd w:id="397"/>
    <w:bookmarkEnd w:id="398"/>
    <w:p>
      <w:pPr>
        <w:pStyle w:val="7"/>
        <w:spacing w:before="120" w:after="120"/>
        <w:ind w:firstLine="420"/>
        <w:rPr>
          <w:bCs w:val="0"/>
          <w:szCs w:val="24"/>
        </w:rPr>
      </w:pPr>
      <w:bookmarkStart w:id="399" w:name="_Toc18683253"/>
      <w:bookmarkStart w:id="400" w:name="_Toc296346622"/>
      <w:bookmarkStart w:id="401" w:name="_Toc296503121"/>
      <w:bookmarkStart w:id="402" w:name="_Toc337558829"/>
      <w:r>
        <w:rPr>
          <w:bCs w:val="0"/>
          <w:szCs w:val="24"/>
        </w:rPr>
        <w:t>18.1 工程保险</w:t>
      </w:r>
      <w:bookmarkEnd w:id="399"/>
    </w:p>
    <w:bookmarkEnd w:id="400"/>
    <w:bookmarkEnd w:id="401"/>
    <w:bookmarkEnd w:id="402"/>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除专用合同条款另有约定外，发包人应投保建筑工程一切险或安装工程一切险；发包人委托承包人投保的，因投保产生的保险费和其他相关费用由发包人承担。</w:t>
      </w:r>
    </w:p>
    <w:p>
      <w:pPr>
        <w:pStyle w:val="7"/>
        <w:spacing w:before="120" w:after="120"/>
        <w:ind w:firstLine="420"/>
        <w:rPr>
          <w:bCs w:val="0"/>
          <w:szCs w:val="24"/>
        </w:rPr>
      </w:pPr>
      <w:bookmarkStart w:id="403" w:name="_Toc18683254"/>
      <w:bookmarkStart w:id="404" w:name="_Toc296503122"/>
      <w:bookmarkStart w:id="405" w:name="_Toc337558830"/>
      <w:bookmarkStart w:id="406" w:name="_Toc296346623"/>
      <w:r>
        <w:rPr>
          <w:bCs w:val="0"/>
          <w:szCs w:val="24"/>
        </w:rPr>
        <w:t>18.2 工伤保险</w:t>
      </w:r>
      <w:bookmarkEnd w:id="403"/>
    </w:p>
    <w:bookmarkEnd w:id="404"/>
    <w:bookmarkEnd w:id="405"/>
    <w:bookmarkEnd w:id="406"/>
    <w:p>
      <w:pPr>
        <w:autoSpaceDE w:val="0"/>
        <w:autoSpaceDN w:val="0"/>
        <w:adjustRightInd w:val="0"/>
        <w:spacing w:line="360" w:lineRule="exact"/>
        <w:ind w:firstLine="480"/>
        <w:jc w:val="left"/>
        <w:rPr>
          <w:rFonts w:ascii="宋体" w:hAnsi="宋体"/>
          <w:kern w:val="0"/>
          <w:sz w:val="24"/>
        </w:rPr>
      </w:pPr>
      <w:r>
        <w:rPr>
          <w:rFonts w:ascii="宋体" w:hAnsi="宋体"/>
          <w:kern w:val="0"/>
          <w:sz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18.2.2 承包人应依照法律规定参加工伤保险，并为其履行合同的全部员工办理工伤保险，缴纳工伤保险费，并要求分包人及由承包人为履行合同聘请的第三方依法参加工伤保险。</w:t>
      </w:r>
    </w:p>
    <w:p>
      <w:pPr>
        <w:pStyle w:val="7"/>
        <w:spacing w:before="120" w:after="120"/>
        <w:ind w:firstLine="420"/>
        <w:rPr>
          <w:bCs w:val="0"/>
          <w:szCs w:val="24"/>
        </w:rPr>
      </w:pPr>
      <w:bookmarkStart w:id="407" w:name="_Toc18683255"/>
      <w:bookmarkStart w:id="408" w:name="_Toc296346626"/>
      <w:bookmarkStart w:id="409" w:name="_Toc337558831"/>
      <w:bookmarkStart w:id="410" w:name="_Toc296503125"/>
      <w:r>
        <w:rPr>
          <w:bCs w:val="0"/>
          <w:szCs w:val="24"/>
        </w:rPr>
        <w:t>18.3其他保险</w:t>
      </w:r>
      <w:bookmarkEnd w:id="407"/>
    </w:p>
    <w:bookmarkEnd w:id="408"/>
    <w:bookmarkEnd w:id="409"/>
    <w:bookmarkEnd w:id="410"/>
    <w:p>
      <w:pPr>
        <w:spacing w:line="360" w:lineRule="exact"/>
        <w:ind w:firstLine="480"/>
        <w:jc w:val="left"/>
        <w:rPr>
          <w:rFonts w:ascii="宋体" w:hAnsi="宋体"/>
          <w:sz w:val="24"/>
        </w:rPr>
      </w:pPr>
      <w:r>
        <w:rPr>
          <w:rFonts w:ascii="宋体" w:hAnsi="宋体"/>
          <w:sz w:val="24"/>
        </w:rPr>
        <w:t>发包人和承包人可以为其施工现场的全部人员办理意外伤害保险并支付保险费，包括其员工及为履行合同聘请的第三方的人员，具体事项由合同当事人在专用合同条款约定。</w:t>
      </w:r>
    </w:p>
    <w:p>
      <w:pPr>
        <w:spacing w:line="360" w:lineRule="exact"/>
        <w:ind w:firstLine="480"/>
        <w:jc w:val="left"/>
        <w:rPr>
          <w:rFonts w:ascii="宋体" w:hAnsi="宋体"/>
          <w:sz w:val="24"/>
        </w:rPr>
      </w:pPr>
      <w:r>
        <w:rPr>
          <w:rFonts w:ascii="宋体" w:hAnsi="宋体"/>
          <w:sz w:val="24"/>
        </w:rPr>
        <w:t>除专用合同条款另有约定外，承包人应为其施工设备等办理财产保险。</w:t>
      </w:r>
    </w:p>
    <w:p>
      <w:pPr>
        <w:pStyle w:val="7"/>
        <w:spacing w:before="120" w:after="120"/>
        <w:ind w:firstLine="420"/>
        <w:rPr>
          <w:bCs w:val="0"/>
          <w:szCs w:val="24"/>
        </w:rPr>
      </w:pPr>
      <w:bookmarkStart w:id="411" w:name="_Toc18683256"/>
      <w:r>
        <w:rPr>
          <w:bCs w:val="0"/>
          <w:szCs w:val="24"/>
        </w:rPr>
        <w:t>18.4持续保险</w:t>
      </w:r>
      <w:bookmarkEnd w:id="411"/>
    </w:p>
    <w:p>
      <w:pPr>
        <w:spacing w:line="360" w:lineRule="exact"/>
        <w:ind w:firstLine="480"/>
        <w:jc w:val="left"/>
        <w:rPr>
          <w:rFonts w:ascii="宋体" w:hAnsi="宋体"/>
          <w:sz w:val="24"/>
        </w:rPr>
      </w:pPr>
      <w:r>
        <w:rPr>
          <w:rFonts w:ascii="宋体" w:hAnsi="宋体"/>
          <w:sz w:val="24"/>
        </w:rPr>
        <w:t>合同当事人应与保险人保持联系，使保险人能够随时了解工程实施中的变动，并确保按保险合同条款要求持续保险。</w:t>
      </w:r>
    </w:p>
    <w:p>
      <w:pPr>
        <w:pStyle w:val="7"/>
        <w:spacing w:before="120" w:after="120"/>
        <w:ind w:firstLine="420"/>
        <w:rPr>
          <w:bCs w:val="0"/>
          <w:szCs w:val="24"/>
        </w:rPr>
      </w:pPr>
      <w:bookmarkStart w:id="412" w:name="_Toc18683257"/>
      <w:bookmarkStart w:id="413" w:name="_Toc337558832"/>
      <w:bookmarkStart w:id="414" w:name="_Toc296346627"/>
      <w:bookmarkStart w:id="415" w:name="_Toc296503126"/>
      <w:r>
        <w:rPr>
          <w:bCs w:val="0"/>
          <w:szCs w:val="24"/>
        </w:rPr>
        <w:t>18.5 保险凭证</w:t>
      </w:r>
      <w:bookmarkEnd w:id="412"/>
    </w:p>
    <w:bookmarkEnd w:id="413"/>
    <w:bookmarkEnd w:id="414"/>
    <w:bookmarkEnd w:id="415"/>
    <w:p>
      <w:pPr>
        <w:spacing w:line="360" w:lineRule="exact"/>
        <w:ind w:firstLine="480"/>
        <w:jc w:val="left"/>
        <w:rPr>
          <w:rFonts w:ascii="宋体" w:hAnsi="宋体"/>
          <w:sz w:val="24"/>
        </w:rPr>
      </w:pPr>
      <w:r>
        <w:rPr>
          <w:rFonts w:ascii="宋体" w:hAnsi="宋体"/>
          <w:sz w:val="24"/>
        </w:rPr>
        <w:t>合同当事人应及时向另一方当事人提交其已投保的各项保险的凭证和保险单复印件。</w:t>
      </w:r>
    </w:p>
    <w:p>
      <w:pPr>
        <w:pStyle w:val="7"/>
        <w:spacing w:before="120" w:after="120"/>
        <w:ind w:firstLine="420"/>
        <w:rPr>
          <w:bCs w:val="0"/>
          <w:szCs w:val="24"/>
        </w:rPr>
      </w:pPr>
      <w:bookmarkStart w:id="416" w:name="_Toc18683258"/>
      <w:bookmarkStart w:id="417" w:name="_Toc337558833"/>
      <w:bookmarkStart w:id="418" w:name="_Toc296346628"/>
      <w:bookmarkStart w:id="419" w:name="_Toc296503127"/>
      <w:r>
        <w:rPr>
          <w:bCs w:val="0"/>
          <w:szCs w:val="24"/>
        </w:rPr>
        <w:t>18.6 未按约定投保的补救</w:t>
      </w:r>
      <w:bookmarkEnd w:id="416"/>
    </w:p>
    <w:bookmarkEnd w:id="417"/>
    <w:bookmarkEnd w:id="418"/>
    <w:bookmarkEnd w:id="419"/>
    <w:p>
      <w:pPr>
        <w:spacing w:line="360" w:lineRule="exact"/>
        <w:ind w:firstLine="480"/>
        <w:jc w:val="left"/>
        <w:rPr>
          <w:rFonts w:ascii="宋体" w:hAnsi="宋体"/>
          <w:sz w:val="24"/>
        </w:rPr>
      </w:pPr>
      <w:r>
        <w:rPr>
          <w:rFonts w:ascii="宋体" w:hAnsi="宋体"/>
          <w:sz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exact"/>
        <w:ind w:firstLine="480"/>
        <w:jc w:val="left"/>
        <w:rPr>
          <w:rFonts w:ascii="宋体" w:hAnsi="宋体"/>
          <w:sz w:val="24"/>
        </w:rPr>
      </w:pPr>
      <w:r>
        <w:rPr>
          <w:rFonts w:ascii="宋体" w:hAnsi="宋体"/>
          <w:sz w:val="24"/>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120" w:after="120"/>
        <w:ind w:firstLine="420"/>
        <w:rPr>
          <w:bCs w:val="0"/>
          <w:szCs w:val="24"/>
        </w:rPr>
      </w:pPr>
      <w:bookmarkStart w:id="420" w:name="_Toc18683259"/>
      <w:bookmarkStart w:id="421" w:name="_Toc337558834"/>
      <w:r>
        <w:rPr>
          <w:bCs w:val="0"/>
          <w:szCs w:val="24"/>
        </w:rPr>
        <w:t>18.7 通知义务</w:t>
      </w:r>
      <w:bookmarkEnd w:id="420"/>
    </w:p>
    <w:bookmarkEnd w:id="421"/>
    <w:p>
      <w:pPr>
        <w:spacing w:line="360" w:lineRule="exact"/>
        <w:ind w:firstLine="480"/>
        <w:jc w:val="left"/>
        <w:rPr>
          <w:rFonts w:ascii="宋体" w:hAnsi="宋体"/>
          <w:sz w:val="24"/>
        </w:rPr>
      </w:pPr>
      <w:r>
        <w:rPr>
          <w:rFonts w:ascii="宋体" w:hAnsi="宋体"/>
          <w:sz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exact"/>
        <w:ind w:firstLine="480"/>
        <w:jc w:val="left"/>
        <w:rPr>
          <w:rFonts w:ascii="宋体" w:hAnsi="宋体"/>
          <w:sz w:val="24"/>
        </w:rPr>
      </w:pPr>
      <w:r>
        <w:rPr>
          <w:rFonts w:ascii="宋体" w:hAnsi="宋体"/>
          <w:sz w:val="24"/>
        </w:rPr>
        <w:t>保险事故发生时，投保人应按照保险合同规定的条件和期限及时向保险人报告。发包人和承包人应当在知道保险事故发生后及时通知对方。</w:t>
      </w:r>
    </w:p>
    <w:p>
      <w:pPr>
        <w:pStyle w:val="6"/>
        <w:ind w:left="103" w:leftChars="0" w:firstLineChars="0"/>
      </w:pPr>
      <w:bookmarkStart w:id="422" w:name="_Toc18683260"/>
      <w:bookmarkStart w:id="423" w:name="_Toc337558835"/>
      <w:bookmarkStart w:id="424" w:name="_Toc296346641"/>
      <w:bookmarkStart w:id="425" w:name="_Toc296503140"/>
      <w:r>
        <w:t>19. 索赔</w:t>
      </w:r>
      <w:bookmarkEnd w:id="422"/>
    </w:p>
    <w:bookmarkEnd w:id="423"/>
    <w:bookmarkEnd w:id="424"/>
    <w:bookmarkEnd w:id="425"/>
    <w:p>
      <w:pPr>
        <w:pStyle w:val="7"/>
        <w:spacing w:before="120" w:after="120"/>
        <w:ind w:firstLine="420"/>
        <w:rPr>
          <w:bCs w:val="0"/>
          <w:szCs w:val="24"/>
        </w:rPr>
      </w:pPr>
      <w:bookmarkStart w:id="426" w:name="_Toc18683261"/>
      <w:bookmarkStart w:id="427" w:name="_Toc296346642"/>
      <w:bookmarkStart w:id="428" w:name="_Toc296503141"/>
      <w:bookmarkStart w:id="429" w:name="_Toc337558836"/>
      <w:r>
        <w:rPr>
          <w:bCs w:val="0"/>
          <w:szCs w:val="24"/>
        </w:rPr>
        <w:t>19.1承包人的索赔</w:t>
      </w:r>
      <w:bookmarkEnd w:id="426"/>
    </w:p>
    <w:bookmarkEnd w:id="427"/>
    <w:bookmarkEnd w:id="428"/>
    <w:bookmarkEnd w:id="429"/>
    <w:p>
      <w:pPr>
        <w:autoSpaceDE w:val="0"/>
        <w:autoSpaceDN w:val="0"/>
        <w:adjustRightInd w:val="0"/>
        <w:spacing w:line="360" w:lineRule="exact"/>
        <w:ind w:firstLine="480"/>
        <w:jc w:val="left"/>
        <w:rPr>
          <w:rFonts w:ascii="宋体" w:hAnsi="宋体"/>
          <w:kern w:val="0"/>
          <w:sz w:val="24"/>
        </w:rPr>
      </w:pPr>
      <w:r>
        <w:rPr>
          <w:rFonts w:ascii="宋体" w:hAnsi="宋体"/>
          <w:kern w:val="0"/>
          <w:sz w:val="24"/>
        </w:rPr>
        <w:t>根据合同约定，承包人认为有权得到追加付款和（或）延长工期的，应按以下程序向</w:t>
      </w:r>
      <w:r>
        <w:rPr>
          <w:rFonts w:hint="eastAsia" w:ascii="宋体" w:hAnsi="宋体"/>
          <w:kern w:val="0"/>
          <w:sz w:val="24"/>
        </w:rPr>
        <w:t>发包</w:t>
      </w:r>
      <w:r>
        <w:rPr>
          <w:rFonts w:ascii="宋体" w:hAnsi="宋体"/>
          <w:kern w:val="0"/>
          <w:sz w:val="24"/>
        </w:rPr>
        <w:t>人提出索赔：</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（4）在索赔事件影响结束后28天内，承包人应向监理人递交最终索赔报告，说明最终要求索赔的追加付款金额和（或）延长的工期，并附必要的记录和证明材料。</w:t>
      </w:r>
    </w:p>
    <w:p>
      <w:pPr>
        <w:pStyle w:val="7"/>
        <w:spacing w:before="120" w:after="120"/>
        <w:ind w:firstLine="420"/>
        <w:rPr>
          <w:bCs w:val="0"/>
          <w:szCs w:val="24"/>
        </w:rPr>
      </w:pPr>
      <w:bookmarkStart w:id="430" w:name="_Toc18683262"/>
      <w:bookmarkStart w:id="431" w:name="_Toc296346643"/>
      <w:bookmarkStart w:id="432" w:name="_Toc296503142"/>
      <w:bookmarkStart w:id="433" w:name="_Toc337558837"/>
      <w:r>
        <w:rPr>
          <w:bCs w:val="0"/>
          <w:szCs w:val="24"/>
        </w:rPr>
        <w:t>19.2 对承包人索赔的处理</w:t>
      </w:r>
      <w:bookmarkEnd w:id="430"/>
    </w:p>
    <w:bookmarkEnd w:id="431"/>
    <w:bookmarkEnd w:id="432"/>
    <w:bookmarkEnd w:id="433"/>
    <w:p>
      <w:pPr>
        <w:autoSpaceDE w:val="0"/>
        <w:autoSpaceDN w:val="0"/>
        <w:adjustRightInd w:val="0"/>
        <w:spacing w:line="360" w:lineRule="exact"/>
        <w:ind w:firstLine="480"/>
        <w:jc w:val="left"/>
        <w:rPr>
          <w:rFonts w:ascii="宋体" w:hAnsi="宋体"/>
          <w:kern w:val="0"/>
          <w:sz w:val="24"/>
        </w:rPr>
      </w:pPr>
      <w:r>
        <w:rPr>
          <w:rFonts w:ascii="宋体" w:hAnsi="宋体"/>
          <w:kern w:val="0"/>
          <w:sz w:val="24"/>
        </w:rPr>
        <w:t>对承包人索赔的处理如下：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（3）承包人接受索赔处理结果的，索赔款项在当期进度款中进行支付；承包人不接受索赔处理结果的，按照第20条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pStyle w:val="7"/>
        <w:spacing w:before="120" w:after="120"/>
        <w:ind w:firstLine="420"/>
        <w:rPr>
          <w:bCs w:val="0"/>
          <w:szCs w:val="24"/>
        </w:rPr>
      </w:pPr>
      <w:bookmarkStart w:id="434" w:name="_Toc18683263"/>
      <w:bookmarkStart w:id="435" w:name="_Toc296346644"/>
      <w:bookmarkStart w:id="436" w:name="_Toc296503143"/>
      <w:bookmarkStart w:id="437" w:name="_Toc337558838"/>
      <w:r>
        <w:rPr>
          <w:bCs w:val="0"/>
          <w:szCs w:val="24"/>
        </w:rPr>
        <w:t>19.3发包人的索赔</w:t>
      </w:r>
      <w:bookmarkEnd w:id="434"/>
    </w:p>
    <w:bookmarkEnd w:id="435"/>
    <w:bookmarkEnd w:id="436"/>
    <w:bookmarkEnd w:id="437"/>
    <w:p>
      <w:pPr>
        <w:autoSpaceDE w:val="0"/>
        <w:autoSpaceDN w:val="0"/>
        <w:adjustRightInd w:val="0"/>
        <w:spacing w:line="360" w:lineRule="exact"/>
        <w:ind w:firstLine="480"/>
        <w:jc w:val="left"/>
        <w:rPr>
          <w:rFonts w:ascii="宋体" w:hAnsi="宋体"/>
          <w:kern w:val="0"/>
          <w:sz w:val="24"/>
        </w:rPr>
      </w:pPr>
      <w:r>
        <w:rPr>
          <w:rFonts w:ascii="宋体" w:hAnsi="宋体"/>
          <w:kern w:val="0"/>
          <w:sz w:val="24"/>
        </w:rPr>
        <w:t>根据合同约定，发包人认为有权得到赔付金额和（或）延长缺陷责任期的，监理人应向承包人发出通知并附有详细的证明。</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120" w:after="120"/>
        <w:ind w:firstLine="420"/>
        <w:rPr>
          <w:bCs w:val="0"/>
          <w:szCs w:val="24"/>
        </w:rPr>
      </w:pPr>
      <w:bookmarkStart w:id="438" w:name="_Toc18683264"/>
      <w:bookmarkStart w:id="439" w:name="_Toc337558839"/>
      <w:bookmarkStart w:id="440" w:name="_Toc296346645"/>
      <w:bookmarkStart w:id="441" w:name="_Toc296503144"/>
      <w:r>
        <w:rPr>
          <w:bCs w:val="0"/>
          <w:szCs w:val="24"/>
        </w:rPr>
        <w:t>19.4 对发包人索赔的处理</w:t>
      </w:r>
      <w:bookmarkEnd w:id="438"/>
    </w:p>
    <w:bookmarkEnd w:id="439"/>
    <w:bookmarkEnd w:id="440"/>
    <w:bookmarkEnd w:id="441"/>
    <w:p>
      <w:pPr>
        <w:autoSpaceDE w:val="0"/>
        <w:autoSpaceDN w:val="0"/>
        <w:adjustRightInd w:val="0"/>
        <w:spacing w:line="360" w:lineRule="exact"/>
        <w:ind w:firstLine="480"/>
        <w:jc w:val="left"/>
        <w:rPr>
          <w:rFonts w:ascii="宋体" w:hAnsi="宋体"/>
          <w:kern w:val="0"/>
          <w:sz w:val="24"/>
        </w:rPr>
      </w:pPr>
      <w:r>
        <w:rPr>
          <w:rFonts w:ascii="宋体" w:hAnsi="宋体"/>
          <w:kern w:val="0"/>
          <w:sz w:val="24"/>
        </w:rPr>
        <w:t>对发包人索赔的处理如下：</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（1）承包人收到发包人提交的索赔报告后，应及时审查索赔报告的内容、查验发包人证明材料；</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（3）承包人接受索赔处理结果的，发包人可从应支付给承包人的合同价款中扣除赔付的金额或延长缺陷责任期；发包人不接受索赔处理结果的，按第20条</w:t>
      </w:r>
      <w:r>
        <w:rPr>
          <w:rFonts w:hint="eastAsia" w:ascii="宋体" w:hAnsi="宋体"/>
          <w:kern w:val="0"/>
          <w:sz w:val="24"/>
        </w:rPr>
        <w:t>〔</w:t>
      </w:r>
      <w:r>
        <w:rPr>
          <w:rFonts w:ascii="宋体" w:hAnsi="宋体"/>
          <w:kern w:val="0"/>
          <w:sz w:val="24"/>
        </w:rPr>
        <w:t>争议解决</w:t>
      </w:r>
      <w:r>
        <w:rPr>
          <w:rFonts w:hint="eastAsia" w:ascii="宋体" w:hAnsi="宋体"/>
          <w:kern w:val="0"/>
          <w:sz w:val="24"/>
        </w:rPr>
        <w:t>〕</w:t>
      </w:r>
      <w:r>
        <w:rPr>
          <w:rFonts w:ascii="宋体" w:hAnsi="宋体"/>
          <w:kern w:val="0"/>
          <w:sz w:val="24"/>
        </w:rPr>
        <w:t>约定处理。</w:t>
      </w:r>
    </w:p>
    <w:p>
      <w:pPr>
        <w:pStyle w:val="7"/>
        <w:spacing w:before="120" w:after="120"/>
        <w:ind w:firstLine="420"/>
        <w:rPr>
          <w:bCs w:val="0"/>
          <w:szCs w:val="24"/>
        </w:rPr>
      </w:pPr>
      <w:bookmarkStart w:id="442" w:name="_Toc18683265"/>
      <w:r>
        <w:rPr>
          <w:bCs w:val="0"/>
          <w:szCs w:val="24"/>
        </w:rPr>
        <w:t>19.5 提出索赔的期限</w:t>
      </w:r>
      <w:bookmarkEnd w:id="442"/>
    </w:p>
    <w:p>
      <w:pPr>
        <w:spacing w:line="360" w:lineRule="exact"/>
        <w:ind w:firstLine="480"/>
        <w:rPr>
          <w:rFonts w:ascii="宋体" w:hAnsi="宋体"/>
          <w:kern w:val="0"/>
          <w:sz w:val="24"/>
        </w:rPr>
      </w:pPr>
      <w:r>
        <w:rPr>
          <w:rFonts w:ascii="宋体" w:hAnsi="宋体"/>
          <w:kern w:val="0"/>
          <w:sz w:val="24"/>
        </w:rPr>
        <w:t>（1）承包人按第14.2款</w:t>
      </w:r>
      <w:r>
        <w:rPr>
          <w:rFonts w:hint="eastAsia" w:ascii="宋体" w:hAnsi="宋体"/>
          <w:kern w:val="0"/>
          <w:sz w:val="24"/>
        </w:rPr>
        <w:t>〔</w:t>
      </w:r>
      <w:r>
        <w:rPr>
          <w:rFonts w:ascii="宋体" w:hAnsi="宋体"/>
          <w:kern w:val="0"/>
          <w:sz w:val="24"/>
        </w:rPr>
        <w:t>竣工结算审核</w:t>
      </w:r>
      <w:r>
        <w:rPr>
          <w:rFonts w:hint="eastAsia" w:ascii="宋体" w:hAnsi="宋体"/>
          <w:kern w:val="0"/>
          <w:sz w:val="24"/>
        </w:rPr>
        <w:t>〕</w:t>
      </w:r>
      <w:r>
        <w:rPr>
          <w:rFonts w:ascii="宋体" w:hAnsi="宋体"/>
          <w:kern w:val="0"/>
          <w:sz w:val="24"/>
        </w:rPr>
        <w:t>约定接收竣工付款证书后，应被视为已无权再提出在工程接收证书颁发前所发生的任何索赔。</w:t>
      </w:r>
    </w:p>
    <w:p>
      <w:pPr>
        <w:spacing w:line="360" w:lineRule="exact"/>
        <w:ind w:firstLine="480"/>
        <w:rPr>
          <w:rFonts w:ascii="宋体" w:hAnsi="宋体"/>
          <w:kern w:val="0"/>
          <w:sz w:val="24"/>
        </w:rPr>
      </w:pPr>
      <w:r>
        <w:rPr>
          <w:rFonts w:ascii="宋体" w:hAnsi="宋体"/>
          <w:kern w:val="0"/>
          <w:sz w:val="24"/>
        </w:rPr>
        <w:t>（2）承包人按第14.4款</w:t>
      </w:r>
      <w:r>
        <w:rPr>
          <w:rFonts w:hint="eastAsia" w:ascii="宋体" w:hAnsi="宋体"/>
          <w:kern w:val="0"/>
          <w:sz w:val="24"/>
        </w:rPr>
        <w:t>〔</w:t>
      </w:r>
      <w:r>
        <w:rPr>
          <w:rFonts w:ascii="宋体" w:hAnsi="宋体"/>
          <w:kern w:val="0"/>
          <w:sz w:val="24"/>
        </w:rPr>
        <w:t>最终结清</w:t>
      </w:r>
      <w:r>
        <w:rPr>
          <w:rFonts w:hint="eastAsia" w:ascii="宋体" w:hAnsi="宋体"/>
          <w:kern w:val="0"/>
          <w:sz w:val="24"/>
        </w:rPr>
        <w:t>〕</w:t>
      </w:r>
      <w:r>
        <w:rPr>
          <w:rFonts w:ascii="宋体" w:hAnsi="宋体"/>
          <w:kern w:val="0"/>
          <w:sz w:val="24"/>
        </w:rPr>
        <w:t>提交的最终结清申请单中，只限于提出工程接收证书颁发后发生的索赔。提出索赔的期限自接受最终结清证书时终止。</w:t>
      </w:r>
    </w:p>
    <w:p>
      <w:pPr>
        <w:pStyle w:val="6"/>
        <w:ind w:left="103" w:leftChars="0" w:firstLineChars="0"/>
      </w:pPr>
      <w:bookmarkStart w:id="443" w:name="_Toc18683266"/>
      <w:r>
        <w:t>20</w:t>
      </w:r>
      <w:bookmarkStart w:id="444" w:name="_Toc337558840"/>
      <w:bookmarkStart w:id="445" w:name="_Toc296503146"/>
      <w:bookmarkStart w:id="446" w:name="_Toc296346647"/>
      <w:r>
        <w:t>. 争议解决</w:t>
      </w:r>
      <w:bookmarkEnd w:id="443"/>
    </w:p>
    <w:bookmarkEnd w:id="444"/>
    <w:bookmarkEnd w:id="445"/>
    <w:bookmarkEnd w:id="446"/>
    <w:p>
      <w:pPr>
        <w:pStyle w:val="7"/>
        <w:spacing w:before="120" w:after="120"/>
        <w:ind w:firstLine="420"/>
        <w:rPr>
          <w:bCs w:val="0"/>
          <w:szCs w:val="24"/>
        </w:rPr>
      </w:pPr>
      <w:bookmarkStart w:id="447" w:name="_Toc18683267"/>
      <w:bookmarkStart w:id="448" w:name="_Toc296346648"/>
      <w:bookmarkStart w:id="449" w:name="_Toc337558841"/>
      <w:bookmarkStart w:id="450" w:name="_Toc296503147"/>
      <w:r>
        <w:rPr>
          <w:bCs w:val="0"/>
          <w:szCs w:val="24"/>
        </w:rPr>
        <w:t>20.1和解</w:t>
      </w:r>
      <w:bookmarkEnd w:id="447"/>
    </w:p>
    <w:bookmarkEnd w:id="448"/>
    <w:bookmarkEnd w:id="449"/>
    <w:bookmarkEnd w:id="450"/>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合同当事人可以就争议自行和解，自行和解达成协议的经双方签字并盖章后作为合同补充文件，双方均应遵照执行。</w:t>
      </w:r>
    </w:p>
    <w:p>
      <w:pPr>
        <w:pStyle w:val="7"/>
        <w:spacing w:before="120" w:after="120"/>
        <w:ind w:firstLine="420"/>
        <w:rPr>
          <w:bCs w:val="0"/>
          <w:szCs w:val="24"/>
        </w:rPr>
      </w:pPr>
      <w:bookmarkStart w:id="451" w:name="_Toc18683268"/>
      <w:r>
        <w:rPr>
          <w:bCs w:val="0"/>
          <w:szCs w:val="24"/>
        </w:rPr>
        <w:t>20</w:t>
      </w:r>
      <w:bookmarkStart w:id="452" w:name="_Toc296503148"/>
      <w:bookmarkStart w:id="453" w:name="_Toc337558842"/>
      <w:bookmarkStart w:id="454" w:name="_Toc296346649"/>
      <w:r>
        <w:rPr>
          <w:bCs w:val="0"/>
          <w:szCs w:val="24"/>
        </w:rPr>
        <w:t>.2调解</w:t>
      </w:r>
      <w:bookmarkEnd w:id="451"/>
    </w:p>
    <w:bookmarkEnd w:id="452"/>
    <w:bookmarkEnd w:id="453"/>
    <w:bookmarkEnd w:id="454"/>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合同当事人可以就争议请求建设行政主管部门</w:t>
      </w:r>
      <w:r>
        <w:rPr>
          <w:rFonts w:hint="eastAsia" w:ascii="宋体" w:hAnsi="宋体"/>
          <w:kern w:val="0"/>
          <w:sz w:val="24"/>
        </w:rPr>
        <w:t>、行业协会</w:t>
      </w:r>
      <w:r>
        <w:rPr>
          <w:rFonts w:ascii="宋体" w:hAnsi="宋体"/>
          <w:kern w:val="0"/>
          <w:sz w:val="24"/>
        </w:rPr>
        <w:t>或</w:t>
      </w:r>
      <w:r>
        <w:rPr>
          <w:rFonts w:hint="eastAsia" w:ascii="宋体" w:hAnsi="宋体"/>
          <w:kern w:val="0"/>
          <w:sz w:val="24"/>
        </w:rPr>
        <w:t>其他</w:t>
      </w:r>
      <w:r>
        <w:rPr>
          <w:rFonts w:ascii="宋体" w:hAnsi="宋体"/>
          <w:kern w:val="0"/>
          <w:sz w:val="24"/>
        </w:rPr>
        <w:t>第三方进行调解，调解达成协议的，经双方签字并盖章后作为合同补充文件，双方均应遵照执行。</w:t>
      </w:r>
    </w:p>
    <w:p>
      <w:pPr>
        <w:pStyle w:val="7"/>
        <w:spacing w:before="120" w:after="120"/>
        <w:ind w:firstLine="420"/>
        <w:rPr>
          <w:bCs w:val="0"/>
          <w:szCs w:val="24"/>
        </w:rPr>
      </w:pPr>
      <w:bookmarkStart w:id="455" w:name="_Toc18683269"/>
      <w:bookmarkStart w:id="456" w:name="_Toc337558843"/>
      <w:bookmarkStart w:id="457" w:name="_Toc296346650"/>
      <w:bookmarkStart w:id="458" w:name="_Toc296503149"/>
      <w:r>
        <w:rPr>
          <w:bCs w:val="0"/>
          <w:szCs w:val="24"/>
        </w:rPr>
        <w:t>20.3争议评审</w:t>
      </w:r>
      <w:bookmarkEnd w:id="455"/>
    </w:p>
    <w:bookmarkEnd w:id="456"/>
    <w:bookmarkEnd w:id="457"/>
    <w:bookmarkEnd w:id="458"/>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合同当事人在专用合同条款中约定采取争议评审方式解决争议</w:t>
      </w:r>
      <w:r>
        <w:rPr>
          <w:rFonts w:hint="eastAsia" w:ascii="宋体" w:hAnsi="宋体"/>
          <w:kern w:val="0"/>
          <w:sz w:val="24"/>
        </w:rPr>
        <w:t>以及评审规则，并</w:t>
      </w:r>
      <w:r>
        <w:rPr>
          <w:rFonts w:ascii="宋体" w:hAnsi="宋体"/>
          <w:kern w:val="0"/>
          <w:sz w:val="24"/>
        </w:rPr>
        <w:t xml:space="preserve">按下列约定执行：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20.3.1 争议评审小组的确定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kern w:val="0"/>
          <w:sz w:val="24"/>
        </w:rPr>
        <w:t>评审</w:t>
      </w:r>
      <w:r>
        <w:rPr>
          <w:rFonts w:ascii="宋体" w:hAnsi="宋体"/>
          <w:kern w:val="0"/>
          <w:sz w:val="24"/>
        </w:rPr>
        <w:t xml:space="preserve">机构指定第三名首席争议评审员。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除专用合同条款另有约定外，评审员报酬由发包人和承包人各承担一半。</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20.3.2 争议评审小组的决定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20.3.3 争议评审小组决定的效力</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争议评审小组作出的书面决定经合同当事人签字确认后，对双方具有约束力，双方应遵照执行。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任何一方当事人不接受争议评审小组决定</w:t>
      </w:r>
      <w:r>
        <w:rPr>
          <w:rFonts w:hint="eastAsia" w:ascii="宋体" w:hAnsi="宋体"/>
          <w:kern w:val="0"/>
          <w:sz w:val="24"/>
        </w:rPr>
        <w:t>或不履行争议评审小组决定的</w:t>
      </w:r>
      <w:r>
        <w:rPr>
          <w:rFonts w:ascii="宋体" w:hAnsi="宋体"/>
          <w:kern w:val="0"/>
          <w:sz w:val="24"/>
        </w:rPr>
        <w:t>，双方可选择采用其他争议解决方式。</w:t>
      </w:r>
    </w:p>
    <w:p>
      <w:pPr>
        <w:pStyle w:val="7"/>
        <w:spacing w:before="120" w:after="120"/>
        <w:ind w:firstLine="420"/>
        <w:rPr>
          <w:bCs w:val="0"/>
          <w:szCs w:val="24"/>
        </w:rPr>
      </w:pPr>
      <w:bookmarkStart w:id="459" w:name="_Toc18683270"/>
      <w:bookmarkStart w:id="460" w:name="_Toc296503150"/>
      <w:bookmarkStart w:id="461" w:name="_Toc337558844"/>
      <w:bookmarkStart w:id="462" w:name="_Toc296346651"/>
      <w:r>
        <w:rPr>
          <w:bCs w:val="0"/>
          <w:szCs w:val="24"/>
        </w:rPr>
        <w:t>20.4仲裁或诉讼</w:t>
      </w:r>
      <w:bookmarkEnd w:id="459"/>
    </w:p>
    <w:bookmarkEnd w:id="460"/>
    <w:bookmarkEnd w:id="461"/>
    <w:bookmarkEnd w:id="462"/>
    <w:p>
      <w:pPr>
        <w:autoSpaceDE w:val="0"/>
        <w:autoSpaceDN w:val="0"/>
        <w:adjustRightInd w:val="0"/>
        <w:spacing w:line="360" w:lineRule="exact"/>
        <w:ind w:firstLine="480"/>
        <w:jc w:val="left"/>
        <w:rPr>
          <w:rFonts w:ascii="宋体" w:hAnsi="宋体"/>
          <w:kern w:val="0"/>
          <w:sz w:val="24"/>
        </w:rPr>
      </w:pPr>
      <w:r>
        <w:rPr>
          <w:rFonts w:ascii="宋体" w:hAnsi="宋体"/>
          <w:kern w:val="0"/>
          <w:sz w:val="24"/>
        </w:rPr>
        <w:t>因合同及合同有关事项产生的争议，合同当事人可以在专用合同条款中约定以下一种方式解决争议：</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（1）向约定的仲裁委员会申请仲裁；</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（2）向有管辖权的人民法院起诉。</w:t>
      </w:r>
    </w:p>
    <w:p>
      <w:pPr>
        <w:pStyle w:val="7"/>
        <w:spacing w:before="120" w:after="120"/>
        <w:ind w:firstLine="420"/>
        <w:rPr>
          <w:bCs w:val="0"/>
          <w:szCs w:val="24"/>
        </w:rPr>
      </w:pPr>
      <w:bookmarkStart w:id="463" w:name="_Toc18683271"/>
      <w:bookmarkStart w:id="464" w:name="_Toc337558845"/>
      <w:bookmarkStart w:id="465" w:name="_Toc296346653"/>
      <w:bookmarkStart w:id="466" w:name="_Toc296503152"/>
      <w:r>
        <w:rPr>
          <w:bCs w:val="0"/>
          <w:szCs w:val="24"/>
        </w:rPr>
        <w:t>20.5争议解决条款效力</w:t>
      </w:r>
      <w:bookmarkEnd w:id="463"/>
    </w:p>
    <w:bookmarkEnd w:id="464"/>
    <w:bookmarkEnd w:id="465"/>
    <w:bookmarkEnd w:id="466"/>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合同有关争议解决的条款独立存在，合同的变更、解除、终止、无效或者被撤销均不影响其效力。 </w:t>
      </w:r>
    </w:p>
    <w:p>
      <w:pPr>
        <w:pStyle w:val="5"/>
        <w:ind w:firstLine="480"/>
      </w:pPr>
      <w:r>
        <w:rPr>
          <w:b w:val="0"/>
          <w:bCs w:val="0"/>
        </w:rPr>
        <w:br w:type="page"/>
      </w:r>
      <w:bookmarkStart w:id="467" w:name="_Toc18683272"/>
      <w:r>
        <w:t xml:space="preserve">第三部分 </w:t>
      </w:r>
      <w:r>
        <w:rPr>
          <w:rFonts w:hint="eastAsia"/>
        </w:rPr>
        <w:t>专用合同条款</w:t>
      </w:r>
      <w:bookmarkEnd w:id="467"/>
    </w:p>
    <w:p>
      <w:pPr>
        <w:pStyle w:val="6"/>
        <w:ind w:left="103" w:leftChars="0" w:firstLineChars="0"/>
      </w:pPr>
      <w:bookmarkStart w:id="468" w:name="_Toc18683273"/>
      <w:r>
        <w:t>1</w:t>
      </w:r>
      <w:bookmarkStart w:id="469" w:name="_Toc296503156"/>
      <w:bookmarkStart w:id="470" w:name="_Toc296890984"/>
      <w:bookmarkStart w:id="471" w:name="_Toc296944495"/>
      <w:bookmarkStart w:id="472" w:name="_Toc292559866"/>
      <w:bookmarkStart w:id="473" w:name="_Toc296346657"/>
      <w:bookmarkStart w:id="474" w:name="_Toc296347155"/>
      <w:bookmarkStart w:id="475" w:name="_Toc292559361"/>
      <w:bookmarkStart w:id="476" w:name="_Toc296891196"/>
      <w:bookmarkStart w:id="477" w:name="_Toc297048342"/>
      <w:bookmarkStart w:id="478" w:name="_Toc297120456"/>
      <w:r>
        <w:t>. 一般约定</w:t>
      </w:r>
      <w:bookmarkEnd w:id="468"/>
    </w:p>
    <w:bookmarkEnd w:id="469"/>
    <w:bookmarkEnd w:id="470"/>
    <w:bookmarkEnd w:id="471"/>
    <w:bookmarkEnd w:id="472"/>
    <w:bookmarkEnd w:id="473"/>
    <w:bookmarkEnd w:id="474"/>
    <w:bookmarkEnd w:id="475"/>
    <w:bookmarkEnd w:id="476"/>
    <w:bookmarkEnd w:id="477"/>
    <w:bookmarkEnd w:id="478"/>
    <w:p>
      <w:pPr>
        <w:pStyle w:val="7"/>
        <w:ind w:firstLine="420"/>
        <w:rPr>
          <w:bCs w:val="0"/>
        </w:rPr>
      </w:pPr>
      <w:bookmarkStart w:id="479" w:name="_Toc18683274"/>
      <w:r>
        <w:rPr>
          <w:bCs w:val="0"/>
        </w:rPr>
        <w:t>1.1 词语定义</w:t>
      </w:r>
      <w:bookmarkEnd w:id="479"/>
    </w:p>
    <w:p>
      <w:pPr>
        <w:spacing w:line="360" w:lineRule="exact"/>
        <w:ind w:firstLine="480"/>
        <w:rPr>
          <w:rFonts w:ascii="宋体" w:hAnsi="宋体"/>
          <w:kern w:val="0"/>
          <w:sz w:val="24"/>
        </w:rPr>
      </w:pPr>
      <w:r>
        <w:rPr>
          <w:rFonts w:ascii="宋体" w:hAnsi="宋体"/>
          <w:kern w:val="0"/>
          <w:sz w:val="24"/>
        </w:rPr>
        <w:t>1.1.1合同</w:t>
      </w:r>
    </w:p>
    <w:p>
      <w:pPr>
        <w:spacing w:line="360" w:lineRule="exact"/>
        <w:ind w:firstLine="480"/>
        <w:rPr>
          <w:rFonts w:ascii="宋体" w:hAnsi="宋体"/>
          <w:kern w:val="0"/>
          <w:sz w:val="24"/>
        </w:rPr>
      </w:pPr>
      <w:r>
        <w:rPr>
          <w:rFonts w:ascii="宋体" w:hAnsi="宋体"/>
          <w:kern w:val="0"/>
          <w:sz w:val="24"/>
        </w:rPr>
        <w:t>1.1.1.1其他合同文件包括：</w:t>
      </w:r>
      <w:r>
        <w:rPr>
          <w:rFonts w:hint="eastAsia" w:ascii="宋体" w:hAnsi="宋体"/>
          <w:kern w:val="0"/>
          <w:sz w:val="24"/>
        </w:rPr>
        <w:t>（但不限于）</w:t>
      </w:r>
      <w:r>
        <w:rPr>
          <w:rFonts w:ascii="宋体" w:hAnsi="宋体"/>
          <w:sz w:val="24"/>
          <w:u w:val="single"/>
        </w:rPr>
        <w:t></w:t>
      </w:r>
      <w:r>
        <w:rPr>
          <w:rFonts w:hint="eastAsia" w:ascii="宋体" w:hAnsi="宋体"/>
          <w:sz w:val="24"/>
          <w:u w:val="single"/>
        </w:rPr>
        <w:t>北京清华长庚医院院内管理制度</w:t>
      </w:r>
      <w:r>
        <w:rPr>
          <w:rFonts w:ascii="宋体" w:hAnsi="宋体"/>
          <w:sz w:val="24"/>
        </w:rPr>
        <w:t>。</w:t>
      </w:r>
    </w:p>
    <w:p>
      <w:pPr>
        <w:pStyle w:val="7"/>
        <w:ind w:firstLine="420"/>
        <w:rPr>
          <w:bCs w:val="0"/>
        </w:rPr>
      </w:pPr>
      <w:bookmarkStart w:id="480" w:name="_Toc18683275"/>
      <w:r>
        <w:rPr>
          <w:bCs w:val="0"/>
        </w:rPr>
        <w:t>1.2 合同当事人及其他相关方</w:t>
      </w:r>
      <w:bookmarkEnd w:id="480"/>
    </w:p>
    <w:p>
      <w:pPr>
        <w:spacing w:line="360" w:lineRule="exact"/>
        <w:ind w:firstLine="480"/>
        <w:rPr>
          <w:rFonts w:ascii="宋体" w:hAnsi="宋体"/>
          <w:sz w:val="24"/>
        </w:rPr>
      </w:pPr>
      <w:r>
        <w:rPr>
          <w:rFonts w:ascii="宋体" w:hAnsi="宋体"/>
          <w:sz w:val="24"/>
        </w:rPr>
        <w:t>1.2.1监理人：</w:t>
      </w:r>
    </w:p>
    <w:p>
      <w:pPr>
        <w:spacing w:line="360" w:lineRule="exact"/>
        <w:ind w:firstLine="480"/>
        <w:rPr>
          <w:rFonts w:ascii="宋体" w:hAnsi="宋体"/>
          <w:sz w:val="24"/>
        </w:rPr>
      </w:pPr>
      <w:r>
        <w:rPr>
          <w:rFonts w:ascii="宋体" w:hAnsi="宋体"/>
          <w:sz w:val="24"/>
        </w:rPr>
        <w:t>名    称：</w:t>
      </w:r>
      <w:r>
        <w:rPr>
          <w:rFonts w:ascii="宋体" w:hAnsi="宋体"/>
          <w:sz w:val="24"/>
          <w:u w:val="single"/>
        </w:rPr>
        <w:t xml:space="preserve">    </w:t>
      </w:r>
      <w:r>
        <w:rPr>
          <w:rFonts w:ascii="宋体" w:hAnsi="宋体"/>
          <w:sz w:val="24"/>
        </w:rPr>
        <w:t>；</w:t>
      </w:r>
    </w:p>
    <w:p>
      <w:pPr>
        <w:spacing w:line="360" w:lineRule="exact"/>
        <w:ind w:firstLine="480"/>
        <w:rPr>
          <w:rFonts w:ascii="宋体" w:hAnsi="宋体"/>
          <w:sz w:val="24"/>
        </w:rPr>
      </w:pPr>
      <w:r>
        <w:rPr>
          <w:rFonts w:ascii="宋体" w:hAnsi="宋体"/>
          <w:sz w:val="24"/>
        </w:rPr>
        <w:t>资质类别和等级：</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1.2.2 设计人：</w:t>
      </w:r>
    </w:p>
    <w:p>
      <w:pPr>
        <w:spacing w:line="360" w:lineRule="exact"/>
        <w:ind w:firstLine="480"/>
        <w:rPr>
          <w:rFonts w:ascii="宋体" w:hAnsi="宋体"/>
          <w:sz w:val="24"/>
        </w:rPr>
      </w:pPr>
      <w:r>
        <w:rPr>
          <w:rFonts w:ascii="宋体" w:hAnsi="宋体"/>
          <w:sz w:val="24"/>
        </w:rPr>
        <w:t>名    称：</w:t>
      </w:r>
      <w:r>
        <w:rPr>
          <w:rFonts w:ascii="宋体" w:hAnsi="宋体"/>
          <w:sz w:val="24"/>
          <w:u w:val="single"/>
        </w:rPr>
        <w:t xml:space="preserve">    </w:t>
      </w:r>
      <w:r>
        <w:rPr>
          <w:rFonts w:ascii="宋体" w:hAnsi="宋体"/>
          <w:sz w:val="24"/>
        </w:rPr>
        <w:t>；</w:t>
      </w:r>
    </w:p>
    <w:p>
      <w:pPr>
        <w:spacing w:line="360" w:lineRule="exact"/>
        <w:ind w:firstLine="480"/>
        <w:rPr>
          <w:rFonts w:ascii="宋体" w:hAnsi="宋体"/>
          <w:sz w:val="24"/>
        </w:rPr>
      </w:pPr>
      <w:r>
        <w:rPr>
          <w:rFonts w:ascii="宋体" w:hAnsi="宋体"/>
          <w:sz w:val="24"/>
        </w:rPr>
        <w:t>资质类别和等级：</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w:t>
      </w:r>
      <w:r>
        <w:rPr>
          <w:rFonts w:ascii="宋体" w:hAnsi="宋体"/>
          <w:sz w:val="24"/>
        </w:rPr>
        <w:t>。</w:t>
      </w:r>
    </w:p>
    <w:p>
      <w:pPr>
        <w:pStyle w:val="7"/>
        <w:ind w:firstLine="420"/>
        <w:rPr>
          <w:bCs w:val="0"/>
        </w:rPr>
      </w:pPr>
      <w:bookmarkStart w:id="481" w:name="_Toc18683276"/>
      <w:r>
        <w:rPr>
          <w:bCs w:val="0"/>
        </w:rPr>
        <w:t>1.3 工程和设备</w:t>
      </w:r>
      <w:bookmarkEnd w:id="481"/>
    </w:p>
    <w:p>
      <w:pPr>
        <w:spacing w:line="360" w:lineRule="exact"/>
        <w:ind w:firstLine="480"/>
        <w:rPr>
          <w:rFonts w:ascii="宋体" w:hAnsi="宋体"/>
          <w:sz w:val="24"/>
        </w:rPr>
      </w:pPr>
      <w:r>
        <w:rPr>
          <w:rFonts w:ascii="宋体" w:hAnsi="宋体"/>
          <w:sz w:val="24"/>
        </w:rPr>
        <w:t>1.3.</w:t>
      </w:r>
      <w:r>
        <w:rPr>
          <w:rFonts w:hint="eastAsia" w:ascii="宋体" w:hAnsi="宋体"/>
          <w:sz w:val="24"/>
        </w:rPr>
        <w:t>1</w:t>
      </w:r>
      <w:r>
        <w:rPr>
          <w:rFonts w:ascii="宋体" w:hAnsi="宋体"/>
          <w:sz w:val="24"/>
        </w:rPr>
        <w:t xml:space="preserve"> 作为施工现场组成部分的其他场所包括：</w:t>
      </w:r>
      <w:r>
        <w:rPr>
          <w:rFonts w:ascii="宋体" w:hAnsi="宋体"/>
          <w:sz w:val="24"/>
          <w:u w:val="single"/>
        </w:rPr>
        <w:t> </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1.3.</w:t>
      </w:r>
      <w:r>
        <w:rPr>
          <w:rFonts w:hint="eastAsia" w:ascii="宋体" w:hAnsi="宋体"/>
          <w:kern w:val="0"/>
          <w:sz w:val="24"/>
        </w:rPr>
        <w:t>2</w:t>
      </w:r>
      <w:r>
        <w:rPr>
          <w:rFonts w:ascii="宋体" w:hAnsi="宋体"/>
          <w:kern w:val="0"/>
          <w:sz w:val="24"/>
        </w:rPr>
        <w:t xml:space="preserve"> 永久占地包括：</w:t>
      </w:r>
      <w:r>
        <w:rPr>
          <w:rFonts w:ascii="宋体" w:hAnsi="宋体"/>
          <w:sz w:val="24"/>
          <w:u w:val="single"/>
        </w:rPr>
        <w:t xml:space="preserve">                </w:t>
      </w:r>
      <w:r>
        <w:rPr>
          <w:rFonts w:ascii="宋体" w:hAnsi="宋体"/>
          <w:kern w:val="0"/>
          <w:sz w:val="24"/>
        </w:rPr>
        <w:t>。</w:t>
      </w:r>
    </w:p>
    <w:p>
      <w:pPr>
        <w:spacing w:line="360" w:lineRule="exact"/>
        <w:ind w:firstLine="480"/>
        <w:jc w:val="left"/>
        <w:rPr>
          <w:rFonts w:ascii="宋体" w:hAnsi="宋体"/>
          <w:sz w:val="24"/>
        </w:rPr>
      </w:pPr>
      <w:r>
        <w:rPr>
          <w:rFonts w:ascii="宋体" w:hAnsi="宋体"/>
          <w:kern w:val="0"/>
          <w:sz w:val="24"/>
        </w:rPr>
        <w:t>1.3.</w:t>
      </w:r>
      <w:r>
        <w:rPr>
          <w:rFonts w:hint="eastAsia" w:ascii="宋体" w:hAnsi="宋体"/>
          <w:kern w:val="0"/>
          <w:sz w:val="24"/>
        </w:rPr>
        <w:t>3</w:t>
      </w:r>
      <w:r>
        <w:rPr>
          <w:rFonts w:ascii="宋体" w:hAnsi="宋体"/>
          <w:kern w:val="0"/>
          <w:sz w:val="24"/>
        </w:rPr>
        <w:t xml:space="preserve"> 临时占地包括：</w:t>
      </w:r>
      <w:r>
        <w:rPr>
          <w:rFonts w:hint="eastAsia" w:ascii="宋体" w:hAnsi="宋体"/>
          <w:sz w:val="24"/>
          <w:u w:val="single"/>
        </w:rPr>
        <w:t>承包人临时办公区</w:t>
      </w:r>
      <w:r>
        <w:rPr>
          <w:rFonts w:ascii="宋体" w:hAnsi="宋体"/>
          <w:sz w:val="24"/>
          <w:u w:val="single"/>
        </w:rPr>
        <w:t xml:space="preserve"> </w:t>
      </w:r>
      <w:r>
        <w:rPr>
          <w:rFonts w:ascii="宋体" w:hAnsi="宋体"/>
          <w:kern w:val="0"/>
          <w:sz w:val="24"/>
        </w:rPr>
        <w:t>。</w:t>
      </w:r>
    </w:p>
    <w:p>
      <w:pPr>
        <w:pStyle w:val="7"/>
        <w:ind w:firstLine="420"/>
        <w:rPr>
          <w:bCs w:val="0"/>
        </w:rPr>
      </w:pPr>
      <w:bookmarkStart w:id="482" w:name="_Toc18683277"/>
      <w:r>
        <w:rPr>
          <w:bCs w:val="0"/>
        </w:rPr>
        <w:t>1.4法律</w:t>
      </w:r>
      <w:bookmarkEnd w:id="482"/>
    </w:p>
    <w:p>
      <w:pPr>
        <w:autoSpaceDE w:val="0"/>
        <w:autoSpaceDN w:val="0"/>
        <w:adjustRightInd w:val="0"/>
        <w:spacing w:line="360" w:lineRule="exact"/>
        <w:ind w:left="596" w:leftChars="284" w:firstLine="480"/>
        <w:jc w:val="left"/>
        <w:rPr>
          <w:rFonts w:ascii="宋体" w:hAnsi="宋体"/>
          <w:sz w:val="24"/>
        </w:rPr>
      </w:pPr>
      <w:r>
        <w:rPr>
          <w:rFonts w:ascii="宋体" w:hAnsi="宋体"/>
          <w:sz w:val="24"/>
        </w:rPr>
        <w:t>适用于合同的其他规范性文件：</w:t>
      </w:r>
      <w:r>
        <w:rPr>
          <w:rFonts w:ascii="宋体" w:hAnsi="宋体"/>
          <w:sz w:val="24"/>
          <w:u w:val="single"/>
        </w:rPr>
        <w:t></w:t>
      </w:r>
      <w:r>
        <w:rPr>
          <w:rFonts w:hint="eastAsia" w:ascii="宋体" w:hAnsi="宋体"/>
          <w:sz w:val="24"/>
          <w:u w:val="single"/>
          <w:lang w:bidi="en-US"/>
        </w:rPr>
        <w:t>北京清华长庚医院院内管理制度</w:t>
      </w:r>
      <w:r>
        <w:rPr>
          <w:rFonts w:ascii="宋体" w:hAnsi="宋体"/>
          <w:sz w:val="24"/>
        </w:rPr>
        <w:t>。</w:t>
      </w:r>
    </w:p>
    <w:p>
      <w:pPr>
        <w:pStyle w:val="7"/>
        <w:ind w:firstLine="420"/>
        <w:rPr>
          <w:bCs w:val="0"/>
        </w:rPr>
      </w:pPr>
      <w:bookmarkStart w:id="483" w:name="_Toc18683278"/>
      <w:r>
        <w:rPr>
          <w:bCs w:val="0"/>
        </w:rPr>
        <w:t>1.5 标准和规范</w:t>
      </w:r>
      <w:bookmarkEnd w:id="483"/>
    </w:p>
    <w:p>
      <w:pPr>
        <w:spacing w:line="360" w:lineRule="exact"/>
        <w:ind w:firstLine="480"/>
        <w:jc w:val="left"/>
        <w:rPr>
          <w:rFonts w:ascii="宋体" w:hAnsi="宋体"/>
          <w:sz w:val="24"/>
        </w:rPr>
      </w:pPr>
      <w:r>
        <w:rPr>
          <w:rFonts w:ascii="宋体" w:hAnsi="宋体"/>
          <w:kern w:val="0"/>
          <w:sz w:val="24"/>
        </w:rPr>
        <w:t>1.5.1适用于工程的标准规范包括：</w:t>
      </w:r>
      <w:r>
        <w:rPr>
          <w:rFonts w:hint="eastAsia" w:ascii="宋体" w:hAnsi="宋体"/>
          <w:sz w:val="24"/>
          <w:u w:val="single"/>
          <w:lang w:bidi="en-US"/>
        </w:rPr>
        <w:t>国家、行业和北京市颁布的最新标准和规范</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1.5.</w:t>
      </w:r>
      <w:r>
        <w:rPr>
          <w:rFonts w:hint="eastAsia" w:ascii="宋体" w:hAnsi="宋体"/>
          <w:kern w:val="0"/>
          <w:sz w:val="24"/>
        </w:rPr>
        <w:t>2</w:t>
      </w:r>
      <w:r>
        <w:rPr>
          <w:rFonts w:ascii="宋体" w:hAnsi="宋体"/>
          <w:kern w:val="0"/>
          <w:sz w:val="24"/>
        </w:rPr>
        <w:t>发包人对工程的技术标准和功能要求的特殊要求：</w:t>
      </w:r>
      <w:r>
        <w:rPr>
          <w:rFonts w:hint="eastAsia" w:ascii="宋体" w:hAnsi="宋体"/>
          <w:sz w:val="24"/>
          <w:u w:val="single"/>
        </w:rPr>
        <w:t>国家、行业及北京市地方标准、规范存在不一致时，以要求严格者为准；国内没有相应标准、规范时，按设计文件、产品说明书或经专家论证由发包人批准后的技术方案为准</w:t>
      </w:r>
      <w:r>
        <w:rPr>
          <w:rFonts w:ascii="宋体" w:hAnsi="宋体"/>
          <w:sz w:val="24"/>
        </w:rPr>
        <w:t>。</w:t>
      </w:r>
    </w:p>
    <w:p>
      <w:pPr>
        <w:pStyle w:val="7"/>
        <w:ind w:firstLine="420"/>
        <w:rPr>
          <w:bCs w:val="0"/>
        </w:rPr>
      </w:pPr>
      <w:bookmarkStart w:id="484" w:name="_Toc18683279"/>
      <w:r>
        <w:rPr>
          <w:bCs w:val="0"/>
        </w:rPr>
        <w:t>1.6 合同文件的优先顺序</w:t>
      </w:r>
      <w:bookmarkEnd w:id="484"/>
    </w:p>
    <w:p>
      <w:pPr>
        <w:spacing w:line="360" w:lineRule="exact"/>
        <w:ind w:firstLine="480"/>
        <w:rPr>
          <w:rFonts w:ascii="宋体" w:hAnsi="宋体"/>
          <w:sz w:val="24"/>
          <w:u w:val="single"/>
          <w:lang w:bidi="en-US"/>
        </w:rPr>
      </w:pPr>
      <w:r>
        <w:rPr>
          <w:rFonts w:ascii="宋体" w:hAnsi="宋体"/>
          <w:sz w:val="24"/>
        </w:rPr>
        <w:t>合同文件组成及优先顺序为：</w:t>
      </w:r>
      <w:r>
        <w:rPr>
          <w:rFonts w:ascii="宋体" w:hAnsi="宋体"/>
          <w:sz w:val="24"/>
          <w:u w:val="single"/>
        </w:rPr>
        <w:t></w:t>
      </w:r>
      <w:r>
        <w:rPr>
          <w:rFonts w:hint="eastAsia" w:ascii="宋体" w:hAnsi="宋体"/>
          <w:sz w:val="24"/>
          <w:u w:val="single"/>
          <w:lang w:bidi="en-US"/>
        </w:rPr>
        <w:t>见通用合同条款1.5。</w:t>
      </w:r>
    </w:p>
    <w:p>
      <w:pPr>
        <w:pStyle w:val="7"/>
        <w:ind w:firstLine="420"/>
        <w:rPr>
          <w:bCs w:val="0"/>
        </w:rPr>
      </w:pPr>
      <w:bookmarkStart w:id="485" w:name="_Toc18683280"/>
      <w:r>
        <w:rPr>
          <w:bCs w:val="0"/>
        </w:rPr>
        <w:t>1.7 图纸和承包人文件</w:t>
      </w:r>
      <w:bookmarkEnd w:id="485"/>
      <w:r>
        <w:rPr>
          <w:bCs w:val="0"/>
        </w:rPr>
        <w:tab/>
      </w:r>
    </w:p>
    <w:p>
      <w:pPr>
        <w:spacing w:line="360" w:lineRule="exact"/>
        <w:ind w:firstLine="480"/>
        <w:rPr>
          <w:rFonts w:ascii="宋体" w:hAnsi="宋体"/>
          <w:sz w:val="24"/>
        </w:rPr>
      </w:pPr>
      <w:r>
        <w:rPr>
          <w:rFonts w:ascii="宋体" w:hAnsi="宋体"/>
          <w:sz w:val="24"/>
        </w:rPr>
        <w:t>1.7.1 图纸的提供</w:t>
      </w:r>
    </w:p>
    <w:p>
      <w:pPr>
        <w:spacing w:line="360" w:lineRule="exact"/>
        <w:ind w:firstLine="480"/>
        <w:rPr>
          <w:rFonts w:ascii="宋体" w:hAnsi="宋体"/>
          <w:sz w:val="24"/>
        </w:rPr>
      </w:pPr>
      <w:r>
        <w:rPr>
          <w:rFonts w:ascii="宋体" w:hAnsi="宋体"/>
          <w:sz w:val="24"/>
        </w:rPr>
        <w:t>发包人向承包人提供图纸的期限：</w:t>
      </w:r>
      <w:r>
        <w:rPr>
          <w:rFonts w:ascii="宋体" w:hAnsi="宋体"/>
          <w:sz w:val="24"/>
          <w:u w:val="single"/>
        </w:rPr>
        <w:t></w:t>
      </w:r>
      <w:r>
        <w:rPr>
          <w:rFonts w:hint="eastAsia" w:ascii="宋体" w:hAnsi="宋体"/>
          <w:sz w:val="24"/>
          <w:u w:val="single"/>
          <w:lang w:bidi="en-US"/>
        </w:rPr>
        <w:t>合同签定后7日内</w:t>
      </w:r>
      <w:r>
        <w:rPr>
          <w:rFonts w:ascii="宋体" w:hAnsi="宋体"/>
          <w:sz w:val="24"/>
        </w:rPr>
        <w:t>；</w:t>
      </w:r>
    </w:p>
    <w:p>
      <w:pPr>
        <w:spacing w:line="360" w:lineRule="exact"/>
        <w:ind w:firstLine="480"/>
        <w:rPr>
          <w:rFonts w:ascii="宋体" w:hAnsi="宋体"/>
          <w:sz w:val="24"/>
        </w:rPr>
      </w:pPr>
      <w:r>
        <w:rPr>
          <w:rFonts w:ascii="宋体" w:hAnsi="宋体"/>
          <w:sz w:val="24"/>
        </w:rPr>
        <w:t>发包人向承包人提供图纸的数量：</w:t>
      </w:r>
      <w:r>
        <w:rPr>
          <w:rFonts w:ascii="宋体" w:hAnsi="宋体"/>
          <w:sz w:val="24"/>
          <w:u w:val="single"/>
        </w:rPr>
        <w:t></w:t>
      </w:r>
      <w:r>
        <w:rPr>
          <w:rFonts w:hint="eastAsia" w:ascii="宋体" w:hAnsi="宋体"/>
          <w:sz w:val="24"/>
          <w:u w:val="single"/>
          <w:lang w:bidi="en-US"/>
        </w:rPr>
        <w:t>2套</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发包人向承包人提供图纸的内容：</w:t>
      </w:r>
      <w:r>
        <w:rPr>
          <w:rFonts w:hint="eastAsia" w:ascii="宋体" w:hAnsi="宋体"/>
          <w:sz w:val="24"/>
          <w:u w:val="single"/>
          <w:lang w:bidi="en-US"/>
        </w:rPr>
        <w:t>包括但不限于建筑、结构、暖通、电气、给排水等专业图纸</w:t>
      </w:r>
      <w:r>
        <w:rPr>
          <w:rFonts w:ascii="宋体" w:hAnsi="宋体"/>
          <w:sz w:val="24"/>
        </w:rPr>
        <w:t>。</w:t>
      </w:r>
    </w:p>
    <w:p>
      <w:pPr>
        <w:spacing w:line="360" w:lineRule="exact"/>
        <w:ind w:firstLine="480"/>
        <w:rPr>
          <w:rFonts w:ascii="宋体" w:hAnsi="宋体"/>
          <w:sz w:val="24"/>
        </w:rPr>
      </w:pPr>
      <w:r>
        <w:rPr>
          <w:rFonts w:ascii="宋体" w:hAnsi="宋体"/>
          <w:sz w:val="24"/>
        </w:rPr>
        <w:t>1.7.2 承包人文件</w:t>
      </w:r>
    </w:p>
    <w:p>
      <w:pPr>
        <w:spacing w:line="360" w:lineRule="exact"/>
        <w:ind w:firstLine="480"/>
        <w:rPr>
          <w:rFonts w:ascii="宋体" w:hAnsi="宋体"/>
          <w:sz w:val="24"/>
        </w:rPr>
      </w:pPr>
      <w:r>
        <w:rPr>
          <w:rFonts w:ascii="宋体" w:hAnsi="宋体"/>
          <w:sz w:val="24"/>
        </w:rPr>
        <w:t>需要由承包人提供的文件，包括</w:t>
      </w:r>
      <w:r>
        <w:rPr>
          <w:rFonts w:hint="eastAsia" w:ascii="宋体" w:hAnsi="宋体"/>
          <w:sz w:val="24"/>
        </w:rPr>
        <w:t>但不限于</w:t>
      </w:r>
      <w:r>
        <w:rPr>
          <w:rFonts w:ascii="宋体" w:hAnsi="宋体"/>
          <w:sz w:val="24"/>
        </w:rPr>
        <w:t>：</w:t>
      </w:r>
      <w:r>
        <w:rPr>
          <w:rFonts w:hint="eastAsia" w:ascii="宋体" w:hAnsi="宋体"/>
          <w:sz w:val="24"/>
          <w:u w:val="single"/>
          <w:lang w:bidi="en-US"/>
        </w:rPr>
        <w:t>项目组织机构及人员表、施工总进度计划、材料进场计划、资金使用计划、施工技术方案、劳动力计划、主要机械使用表、安全文明施工方案</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承包人提供的文件的期限为：</w:t>
      </w:r>
      <w:r>
        <w:rPr>
          <w:rFonts w:ascii="宋体" w:hAnsi="宋体"/>
          <w:sz w:val="24"/>
          <w:u w:val="single"/>
        </w:rPr>
        <w:t></w:t>
      </w:r>
      <w:r>
        <w:rPr>
          <w:rFonts w:hint="eastAsia" w:ascii="宋体" w:hAnsi="宋体"/>
          <w:sz w:val="24"/>
          <w:u w:val="single"/>
          <w:lang w:bidi="en-US"/>
        </w:rPr>
        <w:t>合同签定后7日内</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承包人提供的文件的数量为：</w:t>
      </w:r>
      <w:r>
        <w:rPr>
          <w:rFonts w:ascii="宋体" w:hAnsi="宋体"/>
          <w:sz w:val="24"/>
          <w:u w:val="single"/>
        </w:rPr>
        <w:t></w:t>
      </w:r>
      <w:r>
        <w:rPr>
          <w:rFonts w:hint="eastAsia" w:ascii="宋体" w:hAnsi="宋体"/>
          <w:sz w:val="24"/>
          <w:u w:val="single"/>
          <w:lang w:bidi="en-US"/>
        </w:rPr>
        <w:t>2份</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承包人提供的文件的形式为：</w:t>
      </w:r>
      <w:r>
        <w:rPr>
          <w:rFonts w:ascii="宋体" w:hAnsi="宋体"/>
          <w:sz w:val="24"/>
          <w:u w:val="single"/>
        </w:rPr>
        <w:t></w:t>
      </w:r>
      <w:r>
        <w:rPr>
          <w:rFonts w:hint="eastAsia" w:ascii="宋体" w:hAnsi="宋体"/>
          <w:sz w:val="24"/>
          <w:u w:val="single"/>
        </w:rPr>
        <w:t>盖章</w:t>
      </w:r>
      <w:r>
        <w:rPr>
          <w:rFonts w:hint="eastAsia" w:ascii="宋体" w:hAnsi="宋体"/>
          <w:sz w:val="24"/>
          <w:u w:val="single"/>
          <w:lang w:bidi="en-US"/>
        </w:rPr>
        <w:t>纸质文档和电子文档</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承包人文件的期限：</w:t>
      </w:r>
      <w:r>
        <w:rPr>
          <w:rFonts w:ascii="宋体" w:hAnsi="宋体"/>
          <w:sz w:val="24"/>
          <w:u w:val="single"/>
        </w:rPr>
        <w:t></w:t>
      </w:r>
      <w:r>
        <w:rPr>
          <w:rFonts w:hint="eastAsia" w:ascii="宋体" w:hAnsi="宋体"/>
          <w:sz w:val="24"/>
          <w:u w:val="single"/>
          <w:lang w:bidi="en-US"/>
        </w:rPr>
        <w:t>收到文件后7日内</w:t>
      </w:r>
      <w:r>
        <w:rPr>
          <w:rFonts w:ascii="宋体" w:hAnsi="宋体"/>
          <w:sz w:val="24"/>
          <w:u w:val="single"/>
        </w:rPr>
        <w:t></w:t>
      </w:r>
      <w:r>
        <w:rPr>
          <w:rFonts w:ascii="宋体" w:hAnsi="宋体"/>
          <w:sz w:val="24"/>
        </w:rPr>
        <w:t>。</w:t>
      </w:r>
    </w:p>
    <w:p>
      <w:pPr>
        <w:pStyle w:val="7"/>
        <w:ind w:firstLine="420"/>
        <w:rPr>
          <w:bCs w:val="0"/>
        </w:rPr>
      </w:pPr>
      <w:bookmarkStart w:id="486" w:name="_Toc18683281"/>
      <w:r>
        <w:rPr>
          <w:bCs w:val="0"/>
        </w:rPr>
        <w:t>1.8 联络</w:t>
      </w:r>
      <w:bookmarkEnd w:id="486"/>
    </w:p>
    <w:p>
      <w:pPr>
        <w:spacing w:line="360" w:lineRule="exact"/>
        <w:ind w:firstLine="480"/>
        <w:rPr>
          <w:rFonts w:ascii="宋体" w:hAnsi="宋体"/>
          <w:kern w:val="0"/>
          <w:sz w:val="24"/>
        </w:rPr>
      </w:pPr>
      <w:r>
        <w:rPr>
          <w:rFonts w:ascii="宋体" w:hAnsi="宋体"/>
          <w:kern w:val="0"/>
          <w:sz w:val="24"/>
        </w:rPr>
        <w:t>1.8.1发包人和承包人应当在</w:t>
      </w:r>
      <w:r>
        <w:rPr>
          <w:rFonts w:ascii="宋体" w:hAnsi="宋体"/>
          <w:sz w:val="24"/>
          <w:u w:val="single"/>
        </w:rPr>
        <w:t></w:t>
      </w:r>
      <w:r>
        <w:rPr>
          <w:rFonts w:hint="eastAsia" w:ascii="宋体" w:hAnsi="宋体"/>
          <w:sz w:val="24"/>
          <w:u w:val="single"/>
        </w:rPr>
        <w:t>7</w:t>
      </w:r>
      <w:r>
        <w:rPr>
          <w:rFonts w:ascii="宋体" w:hAnsi="宋体"/>
          <w:kern w:val="0"/>
          <w:sz w:val="24"/>
        </w:rPr>
        <w:t>天内将与合同有关的通知、批准、证明、证书、指示、指令、要求、请求、同意、意见、确定和决定等书面函件送达对方当事人</w:t>
      </w:r>
      <w:r>
        <w:rPr>
          <w:rFonts w:hint="eastAsia" w:ascii="宋体" w:hAnsi="宋体"/>
          <w:kern w:val="0"/>
          <w:sz w:val="24"/>
        </w:rPr>
        <w:t>。</w:t>
      </w:r>
    </w:p>
    <w:p>
      <w:pPr>
        <w:spacing w:line="360" w:lineRule="exact"/>
        <w:ind w:firstLine="480"/>
        <w:rPr>
          <w:rFonts w:ascii="宋体" w:hAnsi="宋体"/>
          <w:kern w:val="0"/>
          <w:sz w:val="24"/>
        </w:rPr>
      </w:pPr>
      <w:r>
        <w:rPr>
          <w:rFonts w:ascii="宋体" w:hAnsi="宋体"/>
          <w:kern w:val="0"/>
          <w:sz w:val="24"/>
        </w:rPr>
        <w:t>1.8.2 发包人接收文件的地点：</w:t>
      </w:r>
      <w:r>
        <w:rPr>
          <w:rFonts w:ascii="宋体" w:hAnsi="宋体"/>
          <w:sz w:val="24"/>
          <w:u w:val="single"/>
        </w:rPr>
        <w:t></w:t>
      </w:r>
      <w:r>
        <w:rPr>
          <w:rFonts w:hint="eastAsia" w:ascii="宋体" w:hAnsi="宋体"/>
          <w:sz w:val="24"/>
          <w:u w:val="single"/>
          <w:lang w:bidi="en-US"/>
        </w:rPr>
        <w:t>北京清华长庚医院2号楼1层</w:t>
      </w:r>
      <w:r>
        <w:rPr>
          <w:rFonts w:ascii="宋体" w:hAnsi="宋体"/>
          <w:sz w:val="24"/>
          <w:u w:val="single"/>
        </w:rPr>
        <w:t></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发包人指定的接收人为：</w:t>
      </w:r>
      <w:r>
        <w:rPr>
          <w:rFonts w:ascii="宋体" w:hAnsi="宋体"/>
          <w:sz w:val="24"/>
          <w:u w:val="single"/>
        </w:rPr>
        <w:t></w:t>
      </w:r>
      <w:r>
        <w:rPr>
          <w:rFonts w:hint="eastAsia" w:ascii="宋体" w:hAnsi="宋体"/>
          <w:sz w:val="24"/>
          <w:u w:val="single"/>
        </w:rPr>
        <w:t xml:space="preserve">发包人代表  </w:t>
      </w:r>
      <w:r>
        <w:rPr>
          <w:rFonts w:ascii="宋体" w:hAnsi="宋体"/>
          <w:sz w:val="24"/>
          <w:u w:val="single"/>
        </w:rPr>
        <w:t></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承包人接收文件的地点：</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承包人指定的接收人为：</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监理人接收文件的地点：</w:t>
      </w:r>
      <w:r>
        <w:rPr>
          <w:rFonts w:ascii="宋体" w:hAnsi="宋体"/>
          <w:sz w:val="24"/>
          <w:u w:val="single"/>
        </w:rPr>
        <w:t> </w:t>
      </w:r>
      <w:r>
        <w:rPr>
          <w:rFonts w:ascii="宋体" w:hAnsi="宋体"/>
          <w:kern w:val="0"/>
          <w:sz w:val="24"/>
        </w:rPr>
        <w:t>；</w:t>
      </w:r>
    </w:p>
    <w:p>
      <w:pPr>
        <w:spacing w:line="360" w:lineRule="exact"/>
        <w:ind w:firstLine="480"/>
        <w:rPr>
          <w:rFonts w:ascii="宋体" w:hAnsi="宋体"/>
          <w:kern w:val="0"/>
          <w:sz w:val="24"/>
        </w:rPr>
      </w:pPr>
      <w:r>
        <w:rPr>
          <w:rFonts w:ascii="宋体" w:hAnsi="宋体"/>
          <w:kern w:val="0"/>
          <w:sz w:val="24"/>
        </w:rPr>
        <w:t>监理人指定的接收人为：</w:t>
      </w:r>
      <w:r>
        <w:rPr>
          <w:rFonts w:ascii="宋体" w:hAnsi="宋体"/>
          <w:sz w:val="24"/>
          <w:u w:val="single"/>
        </w:rPr>
        <w:t> </w:t>
      </w:r>
      <w:r>
        <w:rPr>
          <w:rFonts w:ascii="宋体" w:hAnsi="宋体"/>
          <w:kern w:val="0"/>
          <w:sz w:val="24"/>
        </w:rPr>
        <w:t>。</w:t>
      </w:r>
    </w:p>
    <w:p>
      <w:pPr>
        <w:pStyle w:val="7"/>
        <w:ind w:firstLine="420"/>
        <w:rPr>
          <w:bCs w:val="0"/>
        </w:rPr>
      </w:pPr>
      <w:bookmarkStart w:id="487" w:name="_Toc18683282"/>
      <w:r>
        <w:rPr>
          <w:bCs w:val="0"/>
        </w:rPr>
        <w:t>1.9 交通运输</w:t>
      </w:r>
      <w:bookmarkEnd w:id="487"/>
    </w:p>
    <w:p>
      <w:pPr>
        <w:spacing w:line="360" w:lineRule="exact"/>
        <w:ind w:firstLine="480"/>
        <w:jc w:val="left"/>
        <w:rPr>
          <w:rFonts w:ascii="宋体" w:hAnsi="宋体"/>
          <w:kern w:val="0"/>
          <w:sz w:val="24"/>
        </w:rPr>
      </w:pPr>
      <w:r>
        <w:rPr>
          <w:rFonts w:ascii="宋体" w:hAnsi="宋体"/>
          <w:kern w:val="0"/>
          <w:sz w:val="24"/>
        </w:rPr>
        <w:t>1</w:t>
      </w:r>
      <w:bookmarkStart w:id="488" w:name="_Toc300934943"/>
      <w:bookmarkStart w:id="489" w:name="_Toc312677986"/>
      <w:bookmarkStart w:id="490" w:name="_Toc318581155"/>
      <w:bookmarkStart w:id="491" w:name="_Toc303539100"/>
      <w:bookmarkStart w:id="492" w:name="_Toc304295521"/>
      <w:r>
        <w:rPr>
          <w:rFonts w:ascii="宋体" w:hAnsi="宋体"/>
          <w:kern w:val="0"/>
          <w:sz w:val="24"/>
        </w:rPr>
        <w:t>.9.1 出入现场的权利</w:t>
      </w:r>
    </w:p>
    <w:p>
      <w:pPr>
        <w:spacing w:line="360" w:lineRule="exact"/>
        <w:ind w:firstLine="480"/>
        <w:jc w:val="left"/>
        <w:rPr>
          <w:rFonts w:ascii="宋体" w:hAnsi="宋体"/>
          <w:kern w:val="0"/>
          <w:sz w:val="24"/>
        </w:rPr>
      </w:pPr>
      <w:r>
        <w:rPr>
          <w:rFonts w:ascii="宋体" w:hAnsi="宋体"/>
          <w:kern w:val="0"/>
          <w:sz w:val="24"/>
        </w:rPr>
        <w:t>关于出入现场的权利的约定：</w:t>
      </w:r>
      <w:r>
        <w:rPr>
          <w:rFonts w:hint="eastAsia" w:ascii="宋体" w:hAnsi="宋体"/>
          <w:kern w:val="0"/>
          <w:sz w:val="24"/>
          <w:u w:val="single"/>
          <w:lang w:bidi="en-US"/>
        </w:rPr>
        <w:t>承包人严格遵守《工程承揽须知》中有关进出场的规定</w:t>
      </w:r>
      <w:r>
        <w:rPr>
          <w:rFonts w:ascii="宋体" w:hAnsi="宋体"/>
          <w:kern w:val="0"/>
          <w:sz w:val="24"/>
        </w:rPr>
        <w:t>。</w:t>
      </w:r>
    </w:p>
    <w:bookmarkEnd w:id="488"/>
    <w:bookmarkEnd w:id="489"/>
    <w:bookmarkEnd w:id="490"/>
    <w:bookmarkEnd w:id="491"/>
    <w:bookmarkEnd w:id="492"/>
    <w:p>
      <w:pPr>
        <w:spacing w:line="360" w:lineRule="exact"/>
        <w:ind w:firstLine="480"/>
        <w:jc w:val="left"/>
        <w:rPr>
          <w:rFonts w:ascii="宋体" w:hAnsi="宋体"/>
          <w:kern w:val="0"/>
          <w:sz w:val="24"/>
        </w:rPr>
      </w:pPr>
      <w:r>
        <w:rPr>
          <w:rFonts w:ascii="宋体" w:hAnsi="宋体"/>
          <w:kern w:val="0"/>
          <w:sz w:val="24"/>
        </w:rPr>
        <w:t>1</w:t>
      </w:r>
      <w:bookmarkStart w:id="493" w:name="_Toc318581156"/>
      <w:bookmarkStart w:id="494" w:name="_Toc300934944"/>
      <w:bookmarkStart w:id="495" w:name="_Toc303539101"/>
      <w:bookmarkStart w:id="496" w:name="_Toc304295522"/>
      <w:bookmarkStart w:id="497" w:name="_Toc312677987"/>
      <w:r>
        <w:rPr>
          <w:rFonts w:ascii="宋体" w:hAnsi="宋体"/>
          <w:kern w:val="0"/>
          <w:sz w:val="24"/>
        </w:rPr>
        <w:t>.9.2 场内交通</w:t>
      </w:r>
    </w:p>
    <w:p>
      <w:pPr>
        <w:spacing w:line="360" w:lineRule="exact"/>
        <w:ind w:firstLine="480"/>
        <w:jc w:val="left"/>
        <w:rPr>
          <w:rFonts w:ascii="宋体" w:hAnsi="宋体"/>
          <w:kern w:val="0"/>
          <w:sz w:val="24"/>
        </w:rPr>
      </w:pPr>
      <w:r>
        <w:rPr>
          <w:rFonts w:ascii="宋体" w:hAnsi="宋体"/>
          <w:kern w:val="0"/>
          <w:sz w:val="24"/>
        </w:rPr>
        <w:t>关于场外交通和场内交通的边界的约定：</w:t>
      </w:r>
      <w:r>
        <w:rPr>
          <w:rFonts w:ascii="宋体" w:hAnsi="宋体"/>
          <w:sz w:val="24"/>
          <w:u w:val="single"/>
        </w:rPr>
        <w:t></w:t>
      </w:r>
      <w:r>
        <w:rPr>
          <w:rFonts w:hint="eastAsia" w:ascii="宋体" w:hAnsi="宋体"/>
          <w:sz w:val="24"/>
          <w:u w:val="single"/>
          <w:lang w:bidi="en-US"/>
        </w:rPr>
        <w:t>以医院围墙及大门为界</w:t>
      </w:r>
    </w:p>
    <w:p>
      <w:pPr>
        <w:spacing w:line="360" w:lineRule="exact"/>
        <w:ind w:firstLine="480"/>
        <w:jc w:val="left"/>
        <w:rPr>
          <w:rFonts w:ascii="宋体" w:hAnsi="宋体"/>
          <w:sz w:val="24"/>
        </w:rPr>
      </w:pPr>
      <w:r>
        <w:rPr>
          <w:rFonts w:ascii="宋体" w:hAnsi="宋体"/>
          <w:sz w:val="24"/>
        </w:rPr>
        <w:t>关于发包人向承包人免费提供满足工程施工需要的场内道路和交通设施的约定：</w:t>
      </w:r>
      <w:r>
        <w:rPr>
          <w:rFonts w:hint="eastAsia" w:ascii="宋体" w:hAnsi="宋体"/>
          <w:sz w:val="24"/>
          <w:u w:val="single"/>
          <w:lang w:bidi="en-US"/>
        </w:rPr>
        <w:t>承包人需依照医院正常营业的要求进出施工作业场所</w:t>
      </w:r>
      <w:r>
        <w:rPr>
          <w:rFonts w:ascii="宋体" w:hAnsi="宋体"/>
          <w:sz w:val="24"/>
        </w:rPr>
        <w:t>。</w:t>
      </w:r>
      <w:bookmarkEnd w:id="493"/>
      <w:bookmarkEnd w:id="494"/>
      <w:bookmarkEnd w:id="495"/>
      <w:bookmarkEnd w:id="496"/>
      <w:bookmarkEnd w:id="497"/>
      <w:bookmarkStart w:id="498" w:name="_Toc318581157"/>
    </w:p>
    <w:p>
      <w:pPr>
        <w:spacing w:line="360" w:lineRule="exact"/>
        <w:ind w:firstLine="480"/>
        <w:jc w:val="left"/>
        <w:rPr>
          <w:rFonts w:ascii="宋体" w:hAnsi="宋体"/>
          <w:sz w:val="24"/>
        </w:rPr>
      </w:pPr>
      <w:r>
        <w:rPr>
          <w:rFonts w:ascii="宋体" w:hAnsi="宋体"/>
          <w:sz w:val="24"/>
        </w:rPr>
        <w:t>1.9.3超大件和超重件的运输</w:t>
      </w:r>
    </w:p>
    <w:p>
      <w:pPr>
        <w:spacing w:line="360" w:lineRule="exact"/>
        <w:ind w:firstLine="480"/>
        <w:jc w:val="left"/>
        <w:rPr>
          <w:rFonts w:ascii="宋体" w:hAnsi="宋体"/>
          <w:sz w:val="24"/>
        </w:rPr>
      </w:pPr>
      <w:r>
        <w:rPr>
          <w:rFonts w:ascii="宋体" w:hAnsi="宋体"/>
          <w:sz w:val="24"/>
        </w:rPr>
        <w:t>运输超大件或超重件所需的道路和桥梁临时加固改造费用和其他有关费用由</w:t>
      </w:r>
      <w:r>
        <w:rPr>
          <w:rFonts w:hint="eastAsia" w:ascii="宋体" w:hAnsi="宋体"/>
          <w:sz w:val="24"/>
          <w:u w:val="single"/>
        </w:rPr>
        <w:t>承包人</w:t>
      </w:r>
      <w:r>
        <w:rPr>
          <w:rFonts w:ascii="宋体" w:hAnsi="宋体"/>
          <w:sz w:val="24"/>
        </w:rPr>
        <w:t>承担。</w:t>
      </w:r>
    </w:p>
    <w:p>
      <w:pPr>
        <w:spacing w:line="360" w:lineRule="exact"/>
        <w:ind w:firstLine="480"/>
        <w:jc w:val="left"/>
        <w:rPr>
          <w:rFonts w:ascii="宋体" w:hAnsi="宋体"/>
          <w:sz w:val="24"/>
        </w:rPr>
      </w:pPr>
      <w:r>
        <w:rPr>
          <w:rFonts w:hint="eastAsia" w:ascii="宋体" w:hAnsi="宋体"/>
          <w:sz w:val="24"/>
        </w:rPr>
        <w:t>1.9.4场内施工道路</w:t>
      </w:r>
    </w:p>
    <w:p>
      <w:pPr>
        <w:spacing w:line="360" w:lineRule="exact"/>
        <w:ind w:firstLine="480"/>
        <w:jc w:val="left"/>
        <w:rPr>
          <w:rFonts w:ascii="宋体" w:hAnsi="宋体"/>
          <w:sz w:val="24"/>
        </w:rPr>
      </w:pPr>
      <w:r>
        <w:rPr>
          <w:rFonts w:hint="eastAsia" w:ascii="宋体" w:hAnsi="宋体"/>
          <w:sz w:val="24"/>
        </w:rPr>
        <w:t>施工所需的场内临时道路和交通设施的修建、维护、养护和管理人：承包人，相关费用由承包人承担。</w:t>
      </w:r>
    </w:p>
    <w:p>
      <w:pPr>
        <w:spacing w:line="360" w:lineRule="exact"/>
        <w:ind w:firstLine="480"/>
        <w:jc w:val="left"/>
        <w:rPr>
          <w:rFonts w:ascii="宋体" w:hAnsi="宋体"/>
          <w:sz w:val="24"/>
        </w:rPr>
      </w:pPr>
      <w:r>
        <w:rPr>
          <w:rFonts w:hint="eastAsia" w:ascii="宋体" w:hAnsi="宋体"/>
          <w:sz w:val="24"/>
        </w:rPr>
        <w:t>1.9.5 道路通行权</w:t>
      </w:r>
    </w:p>
    <w:p>
      <w:pPr>
        <w:spacing w:line="360" w:lineRule="exact"/>
        <w:ind w:firstLine="480"/>
        <w:jc w:val="left"/>
        <w:rPr>
          <w:rFonts w:ascii="宋体" w:hAnsi="宋体"/>
          <w:sz w:val="24"/>
        </w:rPr>
      </w:pPr>
      <w:r>
        <w:rPr>
          <w:rFonts w:hint="eastAsia" w:ascii="宋体" w:hAnsi="宋体"/>
          <w:sz w:val="24"/>
        </w:rPr>
        <w:t>负责取得道路通行权、场外设施修建权的办理人:承包人。</w:t>
      </w:r>
    </w:p>
    <w:bookmarkEnd w:id="498"/>
    <w:p>
      <w:pPr>
        <w:pStyle w:val="7"/>
        <w:ind w:firstLine="420"/>
        <w:rPr>
          <w:bCs w:val="0"/>
        </w:rPr>
      </w:pPr>
      <w:bookmarkStart w:id="499" w:name="_Toc18683283"/>
      <w:r>
        <w:rPr>
          <w:bCs w:val="0"/>
        </w:rPr>
        <w:t>1.10知识产权</w:t>
      </w:r>
      <w:bookmarkEnd w:id="499"/>
    </w:p>
    <w:p>
      <w:pPr>
        <w:spacing w:line="360" w:lineRule="exact"/>
        <w:ind w:firstLine="480"/>
        <w:jc w:val="left"/>
        <w:rPr>
          <w:rFonts w:ascii="宋体" w:hAnsi="宋体"/>
          <w:kern w:val="0"/>
          <w:sz w:val="24"/>
        </w:rPr>
      </w:pPr>
      <w:r>
        <w:rPr>
          <w:rFonts w:ascii="宋体" w:hAnsi="宋体"/>
          <w:kern w:val="0"/>
          <w:sz w:val="24"/>
        </w:rPr>
        <w:t>1.10.1关于发包人提供给承包人的图纸、发包人为实施工程自行编制或委托编制的技术规范以及反映发包人关于合同要求或其他类似性质的文件的著作权的归属：</w:t>
      </w:r>
      <w:bookmarkStart w:id="500" w:name="_Hlk13850983"/>
      <w:r>
        <w:rPr>
          <w:rFonts w:hint="eastAsia" w:ascii="宋体" w:hAnsi="宋体"/>
          <w:kern w:val="0"/>
          <w:sz w:val="24"/>
          <w:u w:val="single"/>
        </w:rPr>
        <w:t>发包人</w:t>
      </w:r>
      <w:bookmarkEnd w:id="500"/>
      <w:r>
        <w:rPr>
          <w:rFonts w:ascii="宋体" w:hAnsi="宋体"/>
          <w:kern w:val="0"/>
          <w:sz w:val="24"/>
        </w:rPr>
        <w:t xml:space="preserve"> 。</w:t>
      </w:r>
    </w:p>
    <w:p>
      <w:pPr>
        <w:spacing w:line="360" w:lineRule="exact"/>
        <w:ind w:firstLine="480"/>
        <w:rPr>
          <w:rFonts w:ascii="宋体" w:hAnsi="宋体"/>
          <w:sz w:val="24"/>
          <w:u w:val="single"/>
        </w:rPr>
      </w:pPr>
      <w:r>
        <w:rPr>
          <w:rFonts w:ascii="宋体" w:hAnsi="宋体"/>
          <w:sz w:val="24"/>
        </w:rPr>
        <w:t>关于发包人提供的上述文件的使用限制的要求：</w:t>
      </w:r>
      <w:r>
        <w:rPr>
          <w:rFonts w:hint="eastAsia" w:ascii="宋体" w:hAnsi="宋体"/>
          <w:sz w:val="24"/>
          <w:u w:val="single"/>
          <w:lang w:bidi="en-US"/>
        </w:rPr>
        <w:t>禁止向第三方泄露</w:t>
      </w:r>
      <w:r>
        <w:rPr>
          <w:rFonts w:hint="eastAsia" w:ascii="宋体" w:hAnsi="宋体"/>
          <w:sz w:val="24"/>
          <w:u w:val="single"/>
        </w:rPr>
        <w:t>，禁止用于履行本合同以外的目的 。</w:t>
      </w:r>
    </w:p>
    <w:p>
      <w:pPr>
        <w:spacing w:line="360" w:lineRule="exact"/>
        <w:ind w:firstLine="480"/>
        <w:rPr>
          <w:rFonts w:ascii="宋体" w:hAnsi="宋体"/>
          <w:sz w:val="24"/>
        </w:rPr>
      </w:pPr>
      <w:r>
        <w:rPr>
          <w:rFonts w:ascii="宋体" w:hAnsi="宋体"/>
          <w:sz w:val="24"/>
        </w:rPr>
        <w:t>1.10.2 关于承包人为实施工程所编制文件的著作权的归属：</w:t>
      </w:r>
      <w:r>
        <w:rPr>
          <w:rFonts w:hint="eastAsia" w:ascii="宋体" w:hAnsi="宋体"/>
          <w:sz w:val="24"/>
          <w:u w:val="single"/>
        </w:rPr>
        <w:t xml:space="preserve">  发包人 </w:t>
      </w:r>
      <w:r>
        <w:rPr>
          <w:rFonts w:hint="eastAsia" w:ascii="宋体" w:hAnsi="宋体"/>
          <w:sz w:val="24"/>
        </w:rPr>
        <w:t>。</w:t>
      </w:r>
    </w:p>
    <w:p>
      <w:pPr>
        <w:spacing w:line="360" w:lineRule="exact"/>
        <w:ind w:firstLine="480"/>
        <w:rPr>
          <w:rFonts w:ascii="宋体" w:hAnsi="宋体"/>
          <w:sz w:val="24"/>
        </w:rPr>
      </w:pPr>
      <w:r>
        <w:rPr>
          <w:rFonts w:ascii="宋体" w:hAnsi="宋体"/>
          <w:sz w:val="24"/>
        </w:rPr>
        <w:t>关于承包人提供的上述文件的使用限制的要求：</w:t>
      </w:r>
      <w:r>
        <w:rPr>
          <w:rFonts w:ascii="宋体" w:hAnsi="宋体"/>
          <w:sz w:val="24"/>
          <w:u w:val="single"/>
        </w:rPr>
        <w:t>发包人</w:t>
      </w:r>
      <w:r>
        <w:rPr>
          <w:rFonts w:ascii="宋体" w:hAnsi="宋体"/>
          <w:sz w:val="24"/>
        </w:rPr>
        <w:t>。</w:t>
      </w:r>
    </w:p>
    <w:p>
      <w:pPr>
        <w:spacing w:line="360" w:lineRule="exact"/>
        <w:ind w:firstLine="480"/>
        <w:rPr>
          <w:rFonts w:ascii="宋体" w:hAnsi="宋体"/>
          <w:sz w:val="24"/>
        </w:rPr>
      </w:pPr>
      <w:r>
        <w:rPr>
          <w:rFonts w:ascii="宋体" w:hAnsi="宋体"/>
          <w:sz w:val="24"/>
        </w:rPr>
        <w:t>1.10.3 承包人在施工过程中所采用的专利、专有技术、技术秘密的使用费的承担方式：</w:t>
      </w:r>
      <w:r>
        <w:rPr>
          <w:rFonts w:hint="eastAsia" w:ascii="宋体" w:hAnsi="宋体"/>
          <w:sz w:val="24"/>
          <w:u w:val="single"/>
          <w:lang w:bidi="en-US"/>
        </w:rPr>
        <w:t xml:space="preserve">由承包人承担 </w:t>
      </w:r>
      <w:r>
        <w:rPr>
          <w:rFonts w:ascii="宋体" w:hAnsi="宋体"/>
          <w:sz w:val="24"/>
        </w:rPr>
        <w:t xml:space="preserve">  。</w:t>
      </w:r>
    </w:p>
    <w:p>
      <w:pPr>
        <w:pStyle w:val="7"/>
        <w:ind w:firstLine="420"/>
        <w:rPr>
          <w:bCs w:val="0"/>
        </w:rPr>
      </w:pPr>
      <w:bookmarkStart w:id="501" w:name="_Toc18683284"/>
      <w:r>
        <w:rPr>
          <w:bCs w:val="0"/>
        </w:rPr>
        <w:t>1.11工程量清单错误的修正</w:t>
      </w:r>
      <w:bookmarkEnd w:id="501"/>
    </w:p>
    <w:p>
      <w:pPr>
        <w:spacing w:line="360" w:lineRule="exact"/>
        <w:ind w:firstLine="480"/>
        <w:rPr>
          <w:rFonts w:ascii="宋体" w:hAnsi="宋体"/>
          <w:sz w:val="24"/>
        </w:rPr>
      </w:pPr>
      <w:r>
        <w:rPr>
          <w:rFonts w:hint="eastAsia" w:ascii="宋体" w:hAnsi="宋体"/>
          <w:sz w:val="24"/>
        </w:rPr>
        <w:t>出现工程量清单错误时，是否调整合同价格：</w:t>
      </w:r>
      <w:r>
        <w:rPr>
          <w:rFonts w:hint="eastAsia" w:ascii="宋体" w:hAnsi="宋体"/>
          <w:sz w:val="24"/>
          <w:u w:val="single"/>
        </w:rPr>
        <w:t xml:space="preserve">  可</w:t>
      </w:r>
      <w:r>
        <w:rPr>
          <w:rFonts w:ascii="宋体" w:hAnsi="宋体"/>
          <w:kern w:val="0"/>
          <w:sz w:val="24"/>
        </w:rPr>
        <w:t>。</w:t>
      </w:r>
    </w:p>
    <w:p>
      <w:pPr>
        <w:spacing w:line="360" w:lineRule="exact"/>
        <w:ind w:firstLine="480"/>
        <w:rPr>
          <w:rFonts w:ascii="宋体" w:hAnsi="宋体"/>
          <w:sz w:val="24"/>
        </w:rPr>
      </w:pPr>
      <w:r>
        <w:rPr>
          <w:rFonts w:ascii="宋体" w:hAnsi="宋体"/>
          <w:sz w:val="24"/>
        </w:rPr>
        <w:t>允许调整合同价格的工程量偏差范围：</w:t>
      </w:r>
      <w:r>
        <w:rPr>
          <w:rFonts w:ascii="宋体" w:hAnsi="宋体"/>
          <w:sz w:val="24"/>
          <w:u w:val="single"/>
        </w:rPr>
        <w:t></w:t>
      </w:r>
      <w:r>
        <w:rPr>
          <w:rFonts w:hint="eastAsia" w:ascii="宋体" w:hAnsi="宋体"/>
          <w:sz w:val="24"/>
          <w:u w:val="single"/>
        </w:rPr>
        <w:t>按承包人在履行合同义务中完成的工程量计算</w:t>
      </w:r>
      <w:r>
        <w:rPr>
          <w:rFonts w:ascii="宋体" w:hAnsi="宋体"/>
          <w:kern w:val="0"/>
          <w:sz w:val="24"/>
        </w:rPr>
        <w:t>。</w:t>
      </w:r>
    </w:p>
    <w:p>
      <w:pPr>
        <w:pStyle w:val="6"/>
        <w:ind w:left="103" w:leftChars="0" w:firstLineChars="0"/>
      </w:pPr>
      <w:bookmarkStart w:id="502" w:name="_Toc18683285"/>
      <w:r>
        <w:t>2</w:t>
      </w:r>
      <w:bookmarkStart w:id="503" w:name="_Toc292559867"/>
      <w:bookmarkStart w:id="504" w:name="_Toc296944496"/>
      <w:bookmarkStart w:id="505" w:name="_Toc292559362"/>
      <w:bookmarkStart w:id="506" w:name="_Toc296347156"/>
      <w:bookmarkStart w:id="507" w:name="_Toc297120457"/>
      <w:bookmarkStart w:id="508" w:name="_Toc296346658"/>
      <w:bookmarkStart w:id="509" w:name="_Toc296503157"/>
      <w:bookmarkStart w:id="510" w:name="_Toc296890985"/>
      <w:bookmarkStart w:id="511" w:name="_Toc296891197"/>
      <w:bookmarkStart w:id="512" w:name="_Toc297048343"/>
      <w:r>
        <w:t>. 发包人</w:t>
      </w:r>
      <w:bookmarkEnd w:id="502"/>
    </w:p>
    <w:bookmarkEnd w:id="503"/>
    <w:bookmarkEnd w:id="504"/>
    <w:bookmarkEnd w:id="505"/>
    <w:bookmarkEnd w:id="506"/>
    <w:bookmarkEnd w:id="507"/>
    <w:bookmarkEnd w:id="508"/>
    <w:bookmarkEnd w:id="509"/>
    <w:bookmarkEnd w:id="510"/>
    <w:bookmarkEnd w:id="511"/>
    <w:bookmarkEnd w:id="512"/>
    <w:p>
      <w:pPr>
        <w:pStyle w:val="7"/>
        <w:ind w:firstLine="420"/>
        <w:rPr>
          <w:bCs w:val="0"/>
        </w:rPr>
      </w:pPr>
      <w:bookmarkStart w:id="513" w:name="_Toc18683286"/>
      <w:r>
        <w:rPr>
          <w:bCs w:val="0"/>
        </w:rPr>
        <w:t>2.</w:t>
      </w:r>
      <w:r>
        <w:rPr>
          <w:rFonts w:hint="eastAsia"/>
          <w:bCs w:val="0"/>
        </w:rPr>
        <w:t>1</w:t>
      </w:r>
      <w:r>
        <w:rPr>
          <w:bCs w:val="0"/>
        </w:rPr>
        <w:t xml:space="preserve"> 发包人代表</w:t>
      </w:r>
      <w:bookmarkEnd w:id="513"/>
    </w:p>
    <w:p>
      <w:pPr>
        <w:spacing w:line="360" w:lineRule="exact"/>
        <w:ind w:firstLine="480"/>
        <w:rPr>
          <w:rFonts w:ascii="宋体" w:hAnsi="宋体"/>
          <w:sz w:val="24"/>
        </w:rPr>
      </w:pPr>
      <w:r>
        <w:rPr>
          <w:rFonts w:ascii="宋体" w:hAnsi="宋体"/>
          <w:sz w:val="24"/>
        </w:rPr>
        <w:t>发包人代表：</w:t>
      </w:r>
    </w:p>
    <w:p>
      <w:pPr>
        <w:spacing w:line="360" w:lineRule="exact"/>
        <w:ind w:firstLine="480"/>
        <w:rPr>
          <w:rFonts w:ascii="宋体" w:hAnsi="宋体"/>
          <w:sz w:val="24"/>
        </w:rPr>
      </w:pPr>
      <w:r>
        <w:rPr>
          <w:rFonts w:ascii="宋体" w:hAnsi="宋体"/>
          <w:sz w:val="24"/>
        </w:rPr>
        <w:t>姓    名：</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身份证号：</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发包人对发包人代表的授权范围如下：</w:t>
      </w:r>
      <w:r>
        <w:rPr>
          <w:rFonts w:ascii="宋体" w:hAnsi="宋体"/>
          <w:sz w:val="24"/>
          <w:u w:val="single"/>
        </w:rPr>
        <w:t></w:t>
      </w:r>
      <w:r>
        <w:rPr>
          <w:rFonts w:hint="eastAsia" w:ascii="宋体" w:hAnsi="宋体"/>
          <w:sz w:val="24"/>
          <w:u w:val="single"/>
          <w:lang w:bidi="en-US"/>
        </w:rPr>
        <w:t>工程现场管理责任人</w:t>
      </w:r>
      <w:r>
        <w:rPr>
          <w:rFonts w:ascii="宋体" w:hAnsi="宋体"/>
          <w:sz w:val="24"/>
        </w:rPr>
        <w:t>。</w:t>
      </w:r>
    </w:p>
    <w:p>
      <w:pPr>
        <w:pStyle w:val="7"/>
        <w:ind w:firstLine="420"/>
        <w:rPr>
          <w:bCs w:val="0"/>
        </w:rPr>
      </w:pPr>
      <w:bookmarkStart w:id="514" w:name="_Toc18683287"/>
      <w:r>
        <w:rPr>
          <w:bCs w:val="0"/>
        </w:rPr>
        <w:t>2.</w:t>
      </w:r>
      <w:r>
        <w:rPr>
          <w:rFonts w:hint="eastAsia"/>
          <w:bCs w:val="0"/>
        </w:rPr>
        <w:t>2</w:t>
      </w:r>
      <w:r>
        <w:rPr>
          <w:bCs w:val="0"/>
        </w:rPr>
        <w:t xml:space="preserve"> 施工现场、施工条件和基础资料的提供</w:t>
      </w:r>
      <w:bookmarkEnd w:id="514"/>
    </w:p>
    <w:p>
      <w:pPr>
        <w:spacing w:line="360" w:lineRule="exact"/>
        <w:ind w:firstLine="480"/>
        <w:rPr>
          <w:rFonts w:ascii="宋体" w:hAnsi="宋体"/>
          <w:sz w:val="24"/>
        </w:rPr>
      </w:pPr>
      <w:r>
        <w:rPr>
          <w:rFonts w:ascii="宋体" w:hAnsi="宋体"/>
          <w:sz w:val="24"/>
        </w:rPr>
        <w:t>2.</w:t>
      </w:r>
      <w:r>
        <w:rPr>
          <w:rFonts w:hint="eastAsia" w:ascii="宋体" w:hAnsi="宋体"/>
          <w:sz w:val="24"/>
        </w:rPr>
        <w:t>2</w:t>
      </w:r>
      <w:r>
        <w:rPr>
          <w:rFonts w:ascii="宋体" w:hAnsi="宋体"/>
          <w:sz w:val="24"/>
        </w:rPr>
        <w:t>.1 提供施工现场</w:t>
      </w:r>
    </w:p>
    <w:p>
      <w:pPr>
        <w:spacing w:line="360" w:lineRule="exact"/>
        <w:ind w:firstLine="480"/>
        <w:jc w:val="left"/>
        <w:rPr>
          <w:rFonts w:ascii="宋体" w:hAnsi="宋体"/>
          <w:sz w:val="24"/>
        </w:rPr>
      </w:pPr>
      <w:r>
        <w:rPr>
          <w:rFonts w:ascii="宋体" w:hAnsi="宋体"/>
          <w:sz w:val="24"/>
        </w:rPr>
        <w:t>关于发包人移交施工现场的期限要求：</w:t>
      </w:r>
      <w:r>
        <w:rPr>
          <w:rFonts w:ascii="宋体" w:hAnsi="宋体"/>
          <w:sz w:val="24"/>
          <w:u w:val="single"/>
        </w:rPr>
        <w:t></w:t>
      </w:r>
      <w:r>
        <w:rPr>
          <w:rFonts w:hint="eastAsia" w:ascii="宋体" w:hAnsi="宋体"/>
          <w:sz w:val="24"/>
          <w:u w:val="single"/>
        </w:rPr>
        <w:t>满足医院内医疗作业前提下提供</w:t>
      </w:r>
      <w:r>
        <w:rPr>
          <w:rFonts w:ascii="宋体" w:hAnsi="宋体"/>
          <w:sz w:val="24"/>
        </w:rPr>
        <w:t>。</w:t>
      </w:r>
    </w:p>
    <w:p>
      <w:pPr>
        <w:spacing w:line="360" w:lineRule="exact"/>
        <w:ind w:firstLine="480"/>
        <w:rPr>
          <w:rFonts w:ascii="宋体" w:hAnsi="宋体"/>
          <w:sz w:val="24"/>
        </w:rPr>
      </w:pPr>
      <w:r>
        <w:rPr>
          <w:rFonts w:ascii="宋体" w:hAnsi="宋体"/>
          <w:sz w:val="24"/>
        </w:rPr>
        <w:t>2.</w:t>
      </w:r>
      <w:r>
        <w:rPr>
          <w:rFonts w:hint="eastAsia" w:ascii="宋体" w:hAnsi="宋体"/>
          <w:sz w:val="24"/>
        </w:rPr>
        <w:t>2</w:t>
      </w:r>
      <w:r>
        <w:rPr>
          <w:rFonts w:ascii="宋体" w:hAnsi="宋体"/>
          <w:sz w:val="24"/>
        </w:rPr>
        <w:t>.2 提供施工条件</w:t>
      </w:r>
    </w:p>
    <w:p>
      <w:pPr>
        <w:spacing w:line="360" w:lineRule="exact"/>
        <w:ind w:firstLine="480"/>
        <w:rPr>
          <w:rFonts w:ascii="宋体" w:hAnsi="宋体"/>
          <w:sz w:val="24"/>
          <w:u w:val="single"/>
        </w:rPr>
      </w:pPr>
      <w:r>
        <w:rPr>
          <w:rFonts w:ascii="宋体" w:hAnsi="宋体"/>
          <w:sz w:val="24"/>
        </w:rPr>
        <w:t>关于发包人应负责提供施工</w:t>
      </w:r>
      <w:r>
        <w:rPr>
          <w:rFonts w:hint="eastAsia" w:ascii="宋体" w:hAnsi="宋体"/>
          <w:sz w:val="24"/>
        </w:rPr>
        <w:t>所需要的条件，</w:t>
      </w:r>
      <w:r>
        <w:rPr>
          <w:rFonts w:ascii="宋体" w:hAnsi="宋体"/>
          <w:sz w:val="24"/>
        </w:rPr>
        <w:t>包括：</w:t>
      </w:r>
      <w:r>
        <w:rPr>
          <w:rFonts w:hint="eastAsia" w:ascii="宋体" w:hAnsi="宋体"/>
          <w:sz w:val="24"/>
          <w:u w:val="single"/>
        </w:rPr>
        <w:t>提供可接至施工场所的水、电、道路等</w:t>
      </w:r>
      <w:r>
        <w:rPr>
          <w:rFonts w:ascii="宋体" w:hAnsi="宋体"/>
          <w:sz w:val="24"/>
        </w:rPr>
        <w:t>。</w:t>
      </w:r>
    </w:p>
    <w:p>
      <w:pPr>
        <w:pStyle w:val="6"/>
        <w:ind w:left="103" w:leftChars="0" w:firstLineChars="0"/>
      </w:pPr>
      <w:bookmarkStart w:id="515" w:name="_Toc18683288"/>
      <w:r>
        <w:t>3</w:t>
      </w:r>
      <w:bookmarkStart w:id="516" w:name="_Toc296944497"/>
      <w:bookmarkStart w:id="517" w:name="_Toc292559868"/>
      <w:bookmarkStart w:id="518" w:name="_Toc296890986"/>
      <w:bookmarkStart w:id="519" w:name="_Toc297048344"/>
      <w:bookmarkStart w:id="520" w:name="_Toc292559363"/>
      <w:bookmarkStart w:id="521" w:name="_Toc297120458"/>
      <w:bookmarkStart w:id="522" w:name="_Toc296347157"/>
      <w:bookmarkStart w:id="523" w:name="_Toc296346659"/>
      <w:bookmarkStart w:id="524" w:name="_Toc296891198"/>
      <w:bookmarkStart w:id="525" w:name="_Toc296503158"/>
      <w:r>
        <w:t>. 承包人</w:t>
      </w:r>
      <w:bookmarkEnd w:id="515"/>
    </w:p>
    <w:bookmarkEnd w:id="516"/>
    <w:bookmarkEnd w:id="517"/>
    <w:bookmarkEnd w:id="518"/>
    <w:bookmarkEnd w:id="519"/>
    <w:bookmarkEnd w:id="520"/>
    <w:bookmarkEnd w:id="521"/>
    <w:bookmarkEnd w:id="522"/>
    <w:bookmarkEnd w:id="523"/>
    <w:bookmarkEnd w:id="524"/>
    <w:bookmarkEnd w:id="525"/>
    <w:p>
      <w:pPr>
        <w:pStyle w:val="7"/>
        <w:ind w:firstLine="420"/>
        <w:rPr>
          <w:bCs w:val="0"/>
        </w:rPr>
      </w:pPr>
      <w:bookmarkStart w:id="526" w:name="_Toc18683289"/>
      <w:r>
        <w:rPr>
          <w:bCs w:val="0"/>
        </w:rPr>
        <w:t>3.1 承包人的一般义务</w:t>
      </w:r>
      <w:bookmarkEnd w:id="526"/>
    </w:p>
    <w:p>
      <w:pPr>
        <w:spacing w:line="360" w:lineRule="exact"/>
        <w:ind w:firstLine="480"/>
        <w:rPr>
          <w:rFonts w:ascii="宋体" w:hAnsi="宋体"/>
          <w:kern w:val="0"/>
          <w:sz w:val="24"/>
          <w:u w:val="single"/>
        </w:rPr>
      </w:pPr>
      <w:r>
        <w:rPr>
          <w:rFonts w:ascii="宋体" w:hAnsi="宋体"/>
          <w:kern w:val="0"/>
          <w:sz w:val="24"/>
        </w:rPr>
        <w:t>（1）承包人提交的竣工资料的内容：</w:t>
      </w:r>
      <w:r>
        <w:rPr>
          <w:rFonts w:hint="eastAsia" w:ascii="宋体" w:hAnsi="宋体"/>
          <w:kern w:val="0"/>
          <w:sz w:val="24"/>
          <w:u w:val="single"/>
        </w:rPr>
        <w:t>提供２套竣工图及相应的可编辑的电子文档图1套；并填写</w:t>
      </w:r>
      <w:r>
        <w:fldChar w:fldCharType="begin"/>
      </w:r>
      <w:r>
        <w:instrText xml:space="preserve"> HYPERLINK \l "_Toc14095531" </w:instrText>
      </w:r>
      <w:r>
        <w:fldChar w:fldCharType="separate"/>
      </w:r>
      <w:r>
        <w:rPr>
          <w:rFonts w:ascii="宋体" w:hAnsi="宋体"/>
          <w:kern w:val="0"/>
          <w:sz w:val="24"/>
          <w:u w:val="single"/>
        </w:rPr>
        <w:t>附件4：</w:t>
      </w:r>
      <w:r>
        <w:rPr>
          <w:rFonts w:hint="eastAsia" w:ascii="宋体" w:hAnsi="宋体"/>
          <w:kern w:val="0"/>
          <w:sz w:val="24"/>
          <w:u w:val="single"/>
        </w:rPr>
        <w:t>《</w:t>
      </w:r>
      <w:r>
        <w:rPr>
          <w:rFonts w:ascii="宋体" w:hAnsi="宋体"/>
          <w:kern w:val="0"/>
          <w:sz w:val="24"/>
          <w:u w:val="single"/>
        </w:rPr>
        <w:t>主要建设工程文件目录</w:t>
      </w:r>
      <w:r>
        <w:rPr>
          <w:rFonts w:ascii="宋体" w:hAnsi="宋体"/>
          <w:kern w:val="0"/>
          <w:sz w:val="24"/>
          <w:u w:val="single"/>
        </w:rPr>
        <w:fldChar w:fldCharType="end"/>
      </w:r>
      <w:r>
        <w:rPr>
          <w:rFonts w:hint="eastAsia" w:ascii="宋体" w:hAnsi="宋体"/>
          <w:kern w:val="0"/>
          <w:sz w:val="24"/>
          <w:u w:val="single"/>
        </w:rPr>
        <w:t>》。</w:t>
      </w:r>
    </w:p>
    <w:p>
      <w:pPr>
        <w:spacing w:line="360" w:lineRule="exact"/>
        <w:ind w:firstLine="480"/>
        <w:rPr>
          <w:rFonts w:ascii="宋体" w:hAnsi="宋体"/>
          <w:kern w:val="0"/>
          <w:sz w:val="24"/>
          <w:u w:val="single"/>
        </w:rPr>
      </w:pPr>
      <w:r>
        <w:rPr>
          <w:rFonts w:ascii="宋体" w:hAnsi="宋体"/>
          <w:kern w:val="0"/>
          <w:sz w:val="24"/>
          <w:u w:val="single"/>
        </w:rPr>
        <w:t>。</w:t>
      </w:r>
    </w:p>
    <w:p>
      <w:pPr>
        <w:spacing w:line="360" w:lineRule="exact"/>
        <w:ind w:firstLine="480"/>
        <w:rPr>
          <w:rFonts w:ascii="宋体" w:hAnsi="宋体"/>
          <w:sz w:val="24"/>
        </w:rPr>
      </w:pPr>
      <w:r>
        <w:rPr>
          <w:rFonts w:ascii="宋体" w:hAnsi="宋体"/>
          <w:sz w:val="24"/>
        </w:rPr>
        <w:t>承包人需要提交的竣工资料套数：</w:t>
      </w:r>
      <w:r>
        <w:rPr>
          <w:rFonts w:hint="eastAsia" w:ascii="宋体" w:hAnsi="宋体"/>
          <w:sz w:val="24"/>
          <w:u w:val="single"/>
        </w:rPr>
        <w:t>2套</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承包人提交的竣工资料的费用承担： </w:t>
      </w:r>
      <w:r>
        <w:rPr>
          <w:rFonts w:hint="eastAsia" w:ascii="宋体" w:hAnsi="宋体"/>
          <w:sz w:val="24"/>
          <w:u w:val="single"/>
        </w:rPr>
        <w:t>承包人承担</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承包人提交的竣工资料移交时间： </w:t>
      </w:r>
      <w:r>
        <w:rPr>
          <w:rFonts w:hint="eastAsia" w:ascii="宋体" w:hAnsi="宋体"/>
          <w:sz w:val="24"/>
          <w:u w:val="single"/>
        </w:rPr>
        <w:t>竣工验收后1个月内</w:t>
      </w:r>
      <w:r>
        <w:rPr>
          <w:rFonts w:ascii="宋体" w:hAnsi="宋体"/>
          <w:sz w:val="24"/>
        </w:rPr>
        <w:t xml:space="preserve">  。</w:t>
      </w:r>
    </w:p>
    <w:p>
      <w:pPr>
        <w:spacing w:line="360" w:lineRule="exact"/>
        <w:ind w:firstLine="480"/>
        <w:rPr>
          <w:rFonts w:ascii="宋体" w:hAnsi="宋体"/>
          <w:sz w:val="24"/>
        </w:rPr>
      </w:pPr>
      <w:r>
        <w:rPr>
          <w:rFonts w:ascii="宋体" w:hAnsi="宋体"/>
          <w:sz w:val="24"/>
        </w:rPr>
        <w:t xml:space="preserve">承包人提交的竣工资料形式要求：  </w:t>
      </w:r>
      <w:r>
        <w:rPr>
          <w:rFonts w:hint="eastAsia" w:ascii="宋体" w:hAnsi="宋体"/>
          <w:sz w:val="24"/>
          <w:u w:val="single"/>
        </w:rPr>
        <w:t>纸质文档及电子文档</w:t>
      </w:r>
      <w:r>
        <w:rPr>
          <w:rFonts w:ascii="宋体" w:hAnsi="宋体"/>
          <w:sz w:val="24"/>
        </w:rPr>
        <w:t xml:space="preserve">   。</w:t>
      </w:r>
    </w:p>
    <w:p>
      <w:pPr>
        <w:spacing w:line="360" w:lineRule="exact"/>
        <w:ind w:firstLine="480"/>
        <w:rPr>
          <w:rFonts w:ascii="宋体" w:hAnsi="宋体"/>
          <w:sz w:val="24"/>
        </w:rPr>
      </w:pPr>
      <w:r>
        <w:rPr>
          <w:rFonts w:ascii="宋体" w:hAnsi="宋体"/>
          <w:kern w:val="0"/>
          <w:sz w:val="24"/>
        </w:rPr>
        <w:t>（2）承包人应履行的其他义务：</w:t>
      </w:r>
      <w:r>
        <w:rPr>
          <w:rFonts w:ascii="宋体" w:hAnsi="宋体"/>
          <w:sz w:val="24"/>
          <w:u w:val="single"/>
        </w:rPr>
        <w:t></w:t>
      </w:r>
      <w:r>
        <w:rPr>
          <w:rFonts w:hint="eastAsia" w:ascii="宋体" w:hAnsi="宋体"/>
          <w:sz w:val="24"/>
          <w:u w:val="single"/>
        </w:rPr>
        <w:t>承包人须严格按国家、北京市有关规定支付工人工资，不得拖欠或克扣，若由此导致各种纠纷处罚一概由承包人承担；承包人施工前应仔细核对和专业图纸，若有矛盾或不合理之处须及时汇总报送监理工程师和发包人，以免导致工期延误、工程变更；承包人应制定必要的作业安全措施，并加强对施工人员的教育管理，为员工配备安全防护措施，确保施工安全、第三者安全及医院的正常医疗作业，凡施工中发生的一切质量、安全事故，均由承包人承担</w:t>
      </w:r>
      <w:r>
        <w:rPr>
          <w:rFonts w:ascii="宋体" w:hAnsi="宋体"/>
          <w:sz w:val="24"/>
        </w:rPr>
        <w:t>。</w:t>
      </w:r>
    </w:p>
    <w:p>
      <w:pPr>
        <w:pStyle w:val="7"/>
        <w:ind w:firstLine="420"/>
        <w:rPr>
          <w:bCs w:val="0"/>
        </w:rPr>
      </w:pPr>
      <w:bookmarkStart w:id="527" w:name="_Toc18683290"/>
      <w:r>
        <w:rPr>
          <w:bCs w:val="0"/>
        </w:rPr>
        <w:t>3.2 项目经理</w:t>
      </w:r>
      <w:bookmarkEnd w:id="527"/>
    </w:p>
    <w:p>
      <w:pPr>
        <w:spacing w:line="360" w:lineRule="exact"/>
        <w:ind w:firstLine="480"/>
        <w:rPr>
          <w:rFonts w:ascii="宋体" w:hAnsi="宋体"/>
          <w:sz w:val="24"/>
        </w:rPr>
      </w:pPr>
      <w:r>
        <w:rPr>
          <w:rFonts w:ascii="宋体" w:hAnsi="宋体"/>
          <w:kern w:val="0"/>
          <w:sz w:val="24"/>
        </w:rPr>
        <w:t xml:space="preserve">3.2.1 </w:t>
      </w:r>
      <w:r>
        <w:rPr>
          <w:rFonts w:ascii="宋体" w:hAnsi="宋体"/>
          <w:sz w:val="24"/>
        </w:rPr>
        <w:t>项目经理：</w:t>
      </w:r>
    </w:p>
    <w:p>
      <w:pPr>
        <w:spacing w:line="360" w:lineRule="exact"/>
        <w:ind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身份证号：</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建造师执业资格等级：</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建造师注册证书号：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建造师执业印章号：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安全生产考核合格证书号：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承包人对项目经理的授权范围如下：</w:t>
      </w:r>
      <w:r>
        <w:rPr>
          <w:rFonts w:ascii="宋体" w:hAnsi="宋体"/>
          <w:sz w:val="24"/>
          <w:u w:val="single"/>
        </w:rPr>
        <w:t></w:t>
      </w:r>
      <w:r>
        <w:rPr>
          <w:rFonts w:hint="eastAsia" w:ascii="宋体" w:hAnsi="宋体"/>
          <w:sz w:val="24"/>
          <w:u w:val="single"/>
          <w:lang w:bidi="en-US"/>
        </w:rPr>
        <w:t>北京清华长庚医院工程项目的现场施工组织、管理、协调、结算办理等</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关于项目经理每月在施工现场的时间要求：</w:t>
      </w:r>
      <w:r>
        <w:rPr>
          <w:rFonts w:hint="eastAsia" w:ascii="宋体" w:hAnsi="宋体"/>
          <w:sz w:val="24"/>
          <w:u w:val="single"/>
        </w:rPr>
        <w:t>每月不少于22个工作日</w:t>
      </w:r>
      <w:r>
        <w:rPr>
          <w:rFonts w:ascii="宋体" w:hAnsi="宋体"/>
          <w:sz w:val="24"/>
          <w:u w:val="single"/>
        </w:rPr>
        <w:t></w:t>
      </w:r>
      <w:r>
        <w:rPr>
          <w:rFonts w:ascii="宋体" w:hAnsi="宋体"/>
          <w:sz w:val="24"/>
        </w:rPr>
        <w:t>。</w:t>
      </w:r>
    </w:p>
    <w:p>
      <w:pPr>
        <w:spacing w:line="360" w:lineRule="exact"/>
        <w:ind w:firstLine="480"/>
        <w:rPr>
          <w:rFonts w:ascii="宋体" w:hAnsi="宋体"/>
          <w:kern w:val="0"/>
          <w:sz w:val="24"/>
        </w:rPr>
      </w:pPr>
      <w:r>
        <w:rPr>
          <w:rFonts w:ascii="宋体" w:hAnsi="宋体"/>
          <w:kern w:val="0"/>
          <w:sz w:val="24"/>
        </w:rPr>
        <w:t>承包人未提交劳动合同，以及没有为项目经理缴纳社会保险证明的违约责任：</w:t>
      </w:r>
      <w:r>
        <w:rPr>
          <w:rFonts w:hint="eastAsia" w:ascii="宋体" w:hAnsi="宋体"/>
          <w:sz w:val="24"/>
          <w:u w:val="single"/>
        </w:rPr>
        <w:t>由承包人全部承担</w:t>
      </w:r>
      <w:r>
        <w:rPr>
          <w:rFonts w:ascii="宋体" w:hAnsi="宋体"/>
          <w:sz w:val="24"/>
        </w:rPr>
        <w:t>。</w:t>
      </w:r>
    </w:p>
    <w:p>
      <w:pPr>
        <w:spacing w:line="360" w:lineRule="exact"/>
        <w:ind w:firstLine="480"/>
        <w:rPr>
          <w:rFonts w:ascii="宋体" w:hAnsi="宋体"/>
          <w:sz w:val="24"/>
          <w:u w:val="single"/>
        </w:rPr>
      </w:pPr>
      <w:r>
        <w:rPr>
          <w:rFonts w:ascii="宋体" w:hAnsi="宋体"/>
          <w:kern w:val="0"/>
          <w:sz w:val="24"/>
        </w:rPr>
        <w:t>项目经理未经批准，擅自离开施工现场的违约责任：</w:t>
      </w:r>
      <w:r>
        <w:rPr>
          <w:rFonts w:hint="eastAsia" w:ascii="宋体" w:hAnsi="宋体"/>
          <w:sz w:val="24"/>
          <w:u w:val="single"/>
        </w:rPr>
        <w:t xml:space="preserve">承包人应支付发包人每日5000元的赔偿金，离开施工现场累计，时超过20天的，发包人有权解除合同，并且由承包人向发包人支付合同总价10%的违约金 </w:t>
      </w:r>
      <w:r>
        <w:rPr>
          <w:rFonts w:ascii="宋体" w:hAnsi="宋体"/>
          <w:sz w:val="24"/>
          <w:u w:val="single"/>
        </w:rPr>
        <w:t></w:t>
      </w:r>
      <w:r>
        <w:rPr>
          <w:rFonts w:ascii="宋体" w:hAnsi="宋体"/>
          <w:sz w:val="24"/>
        </w:rPr>
        <w:t>。</w:t>
      </w:r>
    </w:p>
    <w:p>
      <w:pPr>
        <w:spacing w:line="360" w:lineRule="exact"/>
        <w:ind w:firstLine="480"/>
        <w:rPr>
          <w:rFonts w:ascii="宋体" w:hAnsi="宋体"/>
          <w:sz w:val="24"/>
        </w:rPr>
      </w:pPr>
      <w:r>
        <w:rPr>
          <w:rFonts w:ascii="宋体" w:hAnsi="宋体"/>
          <w:sz w:val="24"/>
        </w:rPr>
        <w:t>3.2.2 承包人擅自更换项目经理的违约责任：</w:t>
      </w:r>
      <w:r>
        <w:rPr>
          <w:rFonts w:hint="eastAsia" w:ascii="宋体" w:hAnsi="宋体"/>
          <w:sz w:val="24"/>
          <w:u w:val="single"/>
        </w:rPr>
        <w:t xml:space="preserve">承包人应支付发包人每日5000元的赔偿金，更换后超过20天的仍未向发包人报告的，时超过20天的，发包人有权解除合同，并且由承包人向发包人支付合同总价10%的违约金 </w:t>
      </w:r>
      <w:r>
        <w:rPr>
          <w:rFonts w:ascii="宋体" w:hAnsi="宋体"/>
          <w:sz w:val="24"/>
        </w:rPr>
        <w:t>。</w:t>
      </w:r>
    </w:p>
    <w:p>
      <w:pPr>
        <w:spacing w:line="360" w:lineRule="exact"/>
        <w:ind w:firstLine="480"/>
        <w:rPr>
          <w:rFonts w:ascii="宋体" w:hAnsi="宋体"/>
          <w:sz w:val="24"/>
        </w:rPr>
      </w:pPr>
      <w:r>
        <w:rPr>
          <w:rFonts w:ascii="宋体" w:hAnsi="宋体"/>
          <w:sz w:val="24"/>
        </w:rPr>
        <w:t xml:space="preserve">3.2.3 承包人无正当理由拒绝更换项目经理的违约责任： </w:t>
      </w:r>
      <w:r>
        <w:rPr>
          <w:rFonts w:hint="eastAsia" w:ascii="宋体" w:hAnsi="宋体"/>
          <w:sz w:val="24"/>
          <w:u w:val="single"/>
        </w:rPr>
        <w:t>同上。</w:t>
      </w:r>
      <w:r>
        <w:rPr>
          <w:rFonts w:ascii="宋体" w:hAnsi="宋体"/>
          <w:sz w:val="24"/>
        </w:rPr>
        <w:t xml:space="preserve">                               。</w:t>
      </w:r>
    </w:p>
    <w:p>
      <w:pPr>
        <w:pStyle w:val="7"/>
        <w:ind w:firstLine="420"/>
        <w:rPr>
          <w:bCs w:val="0"/>
        </w:rPr>
      </w:pPr>
      <w:bookmarkStart w:id="528" w:name="_Toc18683291"/>
      <w:r>
        <w:rPr>
          <w:bCs w:val="0"/>
        </w:rPr>
        <w:t>3.3 承包人人员</w:t>
      </w:r>
      <w:bookmarkEnd w:id="528"/>
    </w:p>
    <w:p>
      <w:pPr>
        <w:spacing w:line="360" w:lineRule="exact"/>
        <w:ind w:firstLine="480"/>
        <w:rPr>
          <w:rFonts w:ascii="宋体" w:hAnsi="宋体"/>
          <w:sz w:val="24"/>
        </w:rPr>
      </w:pPr>
      <w:r>
        <w:rPr>
          <w:rFonts w:ascii="宋体" w:hAnsi="宋体"/>
          <w:sz w:val="24"/>
        </w:rPr>
        <w:t>3.3.1 承包人提交项目管理机构及施工现场管理人员安排报告的期限：</w:t>
      </w:r>
      <w:r>
        <w:rPr>
          <w:rFonts w:hint="eastAsia" w:ascii="宋体" w:hAnsi="宋体"/>
          <w:sz w:val="24"/>
          <w:u w:val="single"/>
        </w:rPr>
        <w:t>合同签定后3日内，并填写附件6《承包人主要管理人员表》</w:t>
      </w:r>
      <w:r>
        <w:rPr>
          <w:rFonts w:ascii="宋体" w:hAnsi="宋体"/>
          <w:sz w:val="24"/>
        </w:rPr>
        <w:t>。</w:t>
      </w:r>
    </w:p>
    <w:p>
      <w:pPr>
        <w:spacing w:line="360" w:lineRule="exact"/>
        <w:ind w:firstLine="480"/>
        <w:rPr>
          <w:rFonts w:ascii="宋体" w:hAnsi="宋体"/>
          <w:sz w:val="24"/>
        </w:rPr>
      </w:pPr>
      <w:r>
        <w:rPr>
          <w:rFonts w:ascii="宋体" w:hAnsi="宋体"/>
          <w:sz w:val="24"/>
        </w:rPr>
        <w:t>3.3.2 承包人无正当理由拒绝撤换主要施工管理人员的违约责任：</w:t>
      </w:r>
      <w:r>
        <w:rPr>
          <w:rFonts w:hint="eastAsia" w:ascii="宋体" w:hAnsi="宋体"/>
          <w:sz w:val="24"/>
          <w:u w:val="single"/>
        </w:rPr>
        <w:t xml:space="preserve">承包人应支付发包人每日2000元的赔偿金，超过20天承包人仍未撤换主要施工管理人员的，发包人有权解除合同，并且由承包人向发包人支付合同总价5%的违约金 </w:t>
      </w:r>
      <w:r>
        <w:rPr>
          <w:rFonts w:ascii="宋体" w:hAnsi="宋体"/>
          <w:sz w:val="24"/>
        </w:rPr>
        <w:t>。</w:t>
      </w:r>
    </w:p>
    <w:p>
      <w:pPr>
        <w:spacing w:line="360" w:lineRule="exact"/>
        <w:ind w:firstLine="480"/>
        <w:rPr>
          <w:rFonts w:ascii="宋体" w:hAnsi="宋体"/>
          <w:sz w:val="24"/>
        </w:rPr>
      </w:pPr>
      <w:r>
        <w:rPr>
          <w:rFonts w:ascii="宋体" w:hAnsi="宋体"/>
          <w:sz w:val="24"/>
        </w:rPr>
        <w:t>3.3.3 承包人主要施工管理人员离开施工现场的批准要求：</w:t>
      </w:r>
      <w:r>
        <w:rPr>
          <w:rFonts w:hint="eastAsia" w:ascii="宋体" w:hAnsi="宋体"/>
          <w:sz w:val="24"/>
          <w:u w:val="single"/>
        </w:rPr>
        <w:t>由承包人提前2日向发包人书面提出申请 。</w:t>
      </w:r>
    </w:p>
    <w:p>
      <w:pPr>
        <w:spacing w:line="360" w:lineRule="exact"/>
        <w:ind w:firstLine="480"/>
        <w:rPr>
          <w:rFonts w:ascii="宋体" w:hAnsi="宋体"/>
          <w:sz w:val="24"/>
        </w:rPr>
      </w:pPr>
      <w:r>
        <w:rPr>
          <w:rFonts w:ascii="宋体" w:hAnsi="宋体"/>
          <w:sz w:val="24"/>
        </w:rPr>
        <w:t>3.3.4承包人擅自更换主要施工管理人员的违约责任：</w:t>
      </w:r>
      <w:r>
        <w:rPr>
          <w:rFonts w:hint="eastAsia" w:ascii="宋体" w:hAnsi="宋体"/>
          <w:sz w:val="24"/>
          <w:u w:val="single"/>
        </w:rPr>
        <w:t>同上</w:t>
      </w:r>
      <w:r>
        <w:rPr>
          <w:rFonts w:ascii="宋体" w:hAnsi="宋体"/>
          <w:sz w:val="24"/>
        </w:rPr>
        <w:t>。</w:t>
      </w:r>
    </w:p>
    <w:p>
      <w:pPr>
        <w:spacing w:line="360" w:lineRule="exact"/>
        <w:ind w:firstLine="480"/>
        <w:rPr>
          <w:rFonts w:ascii="宋体" w:hAnsi="宋体"/>
          <w:sz w:val="24"/>
        </w:rPr>
      </w:pPr>
      <w:r>
        <w:rPr>
          <w:rFonts w:ascii="宋体" w:hAnsi="宋体"/>
          <w:sz w:val="24"/>
        </w:rPr>
        <w:t>承包人主要施工管理人员擅自离开施工现场的违约责任：</w:t>
      </w:r>
      <w:r>
        <w:rPr>
          <w:rFonts w:hint="eastAsia" w:ascii="宋体" w:hAnsi="宋体"/>
          <w:sz w:val="24"/>
          <w:u w:val="single"/>
        </w:rPr>
        <w:t>同上</w:t>
      </w:r>
      <w:r>
        <w:rPr>
          <w:rFonts w:ascii="宋体" w:hAnsi="宋体"/>
          <w:sz w:val="24"/>
        </w:rPr>
        <w:t>。</w:t>
      </w:r>
    </w:p>
    <w:p>
      <w:pPr>
        <w:pStyle w:val="7"/>
        <w:ind w:firstLine="420"/>
        <w:rPr>
          <w:bCs w:val="0"/>
        </w:rPr>
      </w:pPr>
      <w:bookmarkStart w:id="529" w:name="_Toc18683292"/>
      <w:r>
        <w:rPr>
          <w:bCs w:val="0"/>
        </w:rPr>
        <w:t>3</w:t>
      </w:r>
      <w:bookmarkStart w:id="530" w:name="_Toc296503159"/>
      <w:bookmarkStart w:id="531" w:name="_Toc303539102"/>
      <w:bookmarkStart w:id="532" w:name="_Toc312677988"/>
      <w:bookmarkStart w:id="533" w:name="_Toc297120459"/>
      <w:bookmarkStart w:id="534" w:name="_Toc297048345"/>
      <w:bookmarkStart w:id="535" w:name="_Toc292559364"/>
      <w:bookmarkStart w:id="536" w:name="_Toc300934945"/>
      <w:bookmarkStart w:id="537" w:name="_Toc297216151"/>
      <w:bookmarkStart w:id="538" w:name="_Toc296891199"/>
      <w:bookmarkStart w:id="539" w:name="_Toc304295523"/>
      <w:bookmarkStart w:id="540" w:name="_Toc296944498"/>
      <w:bookmarkStart w:id="541" w:name="_Toc296347158"/>
      <w:bookmarkStart w:id="542" w:name="_Toc296346660"/>
      <w:bookmarkStart w:id="543" w:name="_Toc292559869"/>
      <w:bookmarkStart w:id="544" w:name="_Toc297123492"/>
      <w:bookmarkStart w:id="545" w:name="_Toc296890987"/>
      <w:r>
        <w:rPr>
          <w:bCs w:val="0"/>
        </w:rPr>
        <w:t>.4 分包</w:t>
      </w:r>
      <w:bookmarkEnd w:id="529"/>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Pr>
        <w:spacing w:line="360" w:lineRule="exact"/>
        <w:ind w:firstLine="480"/>
        <w:rPr>
          <w:rFonts w:ascii="宋体" w:hAnsi="宋体"/>
          <w:sz w:val="24"/>
        </w:rPr>
      </w:pPr>
      <w:r>
        <w:rPr>
          <w:rFonts w:ascii="宋体" w:hAnsi="宋体"/>
          <w:sz w:val="24"/>
        </w:rPr>
        <w:t>3</w:t>
      </w:r>
      <w:bookmarkStart w:id="546" w:name="_Toc296944499"/>
      <w:bookmarkStart w:id="547" w:name="_Toc297216152"/>
      <w:bookmarkStart w:id="548" w:name="_Toc297048346"/>
      <w:bookmarkStart w:id="549" w:name="_Toc292559365"/>
      <w:bookmarkStart w:id="550" w:name="_Toc318581158"/>
      <w:bookmarkStart w:id="551" w:name="_Toc296890988"/>
      <w:bookmarkStart w:id="552" w:name="_Toc304295524"/>
      <w:bookmarkStart w:id="553" w:name="_Toc292559870"/>
      <w:bookmarkStart w:id="554" w:name="_Toc303539103"/>
      <w:bookmarkStart w:id="555" w:name="_Toc297120460"/>
      <w:bookmarkStart w:id="556" w:name="_Toc312677989"/>
      <w:bookmarkStart w:id="557" w:name="_Toc296503160"/>
      <w:bookmarkStart w:id="558" w:name="_Toc296347159"/>
      <w:bookmarkStart w:id="559" w:name="_Toc296346661"/>
      <w:bookmarkStart w:id="560" w:name="_Toc297123493"/>
      <w:bookmarkStart w:id="561" w:name="_Toc300934946"/>
      <w:bookmarkStart w:id="562" w:name="_Toc296891200"/>
      <w:r>
        <w:rPr>
          <w:rFonts w:ascii="宋体" w:hAnsi="宋体"/>
          <w:sz w:val="24"/>
        </w:rPr>
        <w:t>.4.1 分包的一般约定</w:t>
      </w:r>
    </w:p>
    <w:p>
      <w:pPr>
        <w:spacing w:line="360" w:lineRule="exact"/>
        <w:ind w:firstLine="480"/>
        <w:jc w:val="left"/>
        <w:rPr>
          <w:rFonts w:ascii="宋体" w:hAnsi="宋体"/>
          <w:sz w:val="24"/>
        </w:rPr>
      </w:pPr>
      <w:r>
        <w:rPr>
          <w:rFonts w:ascii="宋体" w:hAnsi="宋体"/>
          <w:sz w:val="24"/>
        </w:rPr>
        <w:t>禁止分包的工程包括：</w:t>
      </w:r>
      <w:r>
        <w:rPr>
          <w:rFonts w:ascii="宋体" w:hAnsi="宋体"/>
          <w:sz w:val="24"/>
          <w:u w:val="single"/>
        </w:rPr>
        <w:t></w:t>
      </w:r>
      <w:r>
        <w:rPr>
          <w:rFonts w:hint="eastAsia" w:ascii="宋体" w:hAnsi="宋体"/>
          <w:sz w:val="24"/>
          <w:u w:val="single"/>
        </w:rPr>
        <w:t>主体结构、关键性工作</w:t>
      </w:r>
      <w:r>
        <w:rPr>
          <w:rFonts w:ascii="宋体" w:hAnsi="宋体"/>
          <w:sz w:val="24"/>
        </w:rPr>
        <w:t>。</w:t>
      </w:r>
    </w:p>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spacing w:line="360" w:lineRule="exact"/>
        <w:ind w:firstLine="480"/>
        <w:rPr>
          <w:rFonts w:ascii="宋体" w:hAnsi="宋体"/>
          <w:sz w:val="24"/>
        </w:rPr>
      </w:pPr>
      <w:r>
        <w:rPr>
          <w:rFonts w:ascii="宋体" w:hAnsi="宋体"/>
          <w:sz w:val="24"/>
        </w:rPr>
        <w:t xml:space="preserve">    3</w:t>
      </w:r>
      <w:bookmarkStart w:id="563" w:name="_Toc318581159"/>
      <w:bookmarkStart w:id="564" w:name="_Toc312677990"/>
      <w:r>
        <w:rPr>
          <w:rFonts w:ascii="宋体" w:hAnsi="宋体"/>
          <w:sz w:val="24"/>
        </w:rPr>
        <w:t>.4.2分包的确定</w:t>
      </w:r>
    </w:p>
    <w:p>
      <w:pPr>
        <w:spacing w:line="360" w:lineRule="exact"/>
        <w:ind w:firstLine="480"/>
        <w:rPr>
          <w:rFonts w:ascii="宋体" w:hAnsi="宋体"/>
          <w:sz w:val="24"/>
          <w:u w:val="single"/>
        </w:rPr>
      </w:pPr>
      <w:r>
        <w:rPr>
          <w:rFonts w:ascii="宋体" w:hAnsi="宋体"/>
          <w:sz w:val="24"/>
        </w:rPr>
        <w:t>允许分包的专业工程包括：</w:t>
      </w:r>
      <w:r>
        <w:rPr>
          <w:rFonts w:ascii="宋体" w:hAnsi="宋体"/>
          <w:sz w:val="24"/>
          <w:u w:val="single"/>
        </w:rPr>
        <w:t xml:space="preserve">          </w:t>
      </w:r>
      <w:r>
        <w:rPr>
          <w:rFonts w:hint="eastAsia" w:ascii="宋体" w:hAnsi="宋体"/>
          <w:sz w:val="24"/>
          <w:u w:val="single"/>
        </w:rPr>
        <w:t>；</w:t>
      </w:r>
    </w:p>
    <w:p>
      <w:pPr>
        <w:spacing w:line="360" w:lineRule="exact"/>
        <w:ind w:firstLine="480"/>
        <w:rPr>
          <w:rFonts w:ascii="宋体" w:hAnsi="宋体"/>
          <w:sz w:val="24"/>
          <w:u w:val="single"/>
        </w:rPr>
      </w:pPr>
      <w:r>
        <w:rPr>
          <w:rFonts w:hint="eastAsia" w:ascii="宋体" w:hAnsi="宋体"/>
          <w:sz w:val="24"/>
          <w:u w:val="single"/>
        </w:rPr>
        <w:t>填写附件7《分包人主要管理人员表》</w:t>
      </w:r>
      <w:r>
        <w:rPr>
          <w:rFonts w:ascii="宋体" w:hAnsi="宋体"/>
          <w:sz w:val="24"/>
        </w:rPr>
        <w:t>。</w:t>
      </w:r>
    </w:p>
    <w:p>
      <w:pPr>
        <w:spacing w:line="360" w:lineRule="exact"/>
        <w:ind w:firstLine="480"/>
        <w:rPr>
          <w:rFonts w:ascii="宋体" w:hAnsi="宋体"/>
          <w:sz w:val="24"/>
        </w:rPr>
      </w:pPr>
      <w:r>
        <w:rPr>
          <w:rFonts w:ascii="宋体" w:hAnsi="宋体"/>
          <w:sz w:val="24"/>
        </w:rPr>
        <w:t>其他关于分包的约定：</w:t>
      </w:r>
      <w:r>
        <w:rPr>
          <w:rFonts w:hint="eastAsia" w:ascii="宋体" w:hAnsi="宋体"/>
          <w:sz w:val="24"/>
          <w:u w:val="single"/>
        </w:rPr>
        <w:t>本工程禁止转包、挂靠，否则一切责任由承包人承担，发包人有权随时终止施工合同，发包人有权扣除合同总价10%违约金，并按相关规定进行处罚。由此造成的一切损失均由承包人承担</w:t>
      </w:r>
      <w:r>
        <w:rPr>
          <w:rFonts w:ascii="宋体" w:hAnsi="宋体"/>
          <w:sz w:val="24"/>
        </w:rPr>
        <w:t>。</w:t>
      </w:r>
    </w:p>
    <w:bookmarkEnd w:id="563"/>
    <w:bookmarkEnd w:id="564"/>
    <w:p>
      <w:pPr>
        <w:pStyle w:val="7"/>
        <w:ind w:firstLine="420"/>
        <w:rPr>
          <w:bCs w:val="0"/>
        </w:rPr>
      </w:pPr>
      <w:bookmarkStart w:id="565" w:name="_Toc18683293"/>
      <w:r>
        <w:rPr>
          <w:bCs w:val="0"/>
        </w:rPr>
        <w:t>3.5 工程照管与成品、半成品保护</w:t>
      </w:r>
      <w:bookmarkEnd w:id="565"/>
    </w:p>
    <w:p>
      <w:pPr>
        <w:spacing w:before="120" w:after="120" w:line="360" w:lineRule="exact"/>
        <w:ind w:firstLine="480"/>
        <w:rPr>
          <w:rFonts w:ascii="宋体" w:hAnsi="宋体"/>
          <w:kern w:val="0"/>
          <w:sz w:val="24"/>
          <w:u w:val="single"/>
        </w:rPr>
      </w:pPr>
      <w:r>
        <w:rPr>
          <w:rFonts w:ascii="宋体" w:hAnsi="宋体"/>
          <w:kern w:val="0"/>
          <w:sz w:val="24"/>
        </w:rPr>
        <w:t>承包人负责照管工程及工程相关的材料、工程设备的起始时间：</w:t>
      </w:r>
      <w:r>
        <w:rPr>
          <w:rFonts w:hint="eastAsia" w:ascii="宋体" w:hAnsi="宋体"/>
          <w:kern w:val="0"/>
          <w:sz w:val="24"/>
          <w:u w:val="single"/>
        </w:rPr>
        <w:t>自进入施工现场至竣工验收移交医院工处工程科</w:t>
      </w:r>
      <w:r>
        <w:rPr>
          <w:rFonts w:ascii="宋体" w:hAnsi="宋体"/>
          <w:kern w:val="0"/>
          <w:sz w:val="24"/>
        </w:rPr>
        <w:t>。</w:t>
      </w:r>
    </w:p>
    <w:p>
      <w:pPr>
        <w:pStyle w:val="7"/>
        <w:ind w:firstLine="420"/>
        <w:rPr>
          <w:bCs w:val="0"/>
        </w:rPr>
      </w:pPr>
      <w:bookmarkStart w:id="566" w:name="_Toc18683294"/>
      <w:r>
        <w:rPr>
          <w:bCs w:val="0"/>
        </w:rPr>
        <w:t>3.6 履约担保</w:t>
      </w:r>
      <w:bookmarkEnd w:id="566"/>
    </w:p>
    <w:p>
      <w:pPr>
        <w:spacing w:line="360" w:lineRule="exact"/>
        <w:ind w:firstLine="480"/>
        <w:jc w:val="left"/>
        <w:rPr>
          <w:rFonts w:ascii="宋体" w:hAnsi="宋体"/>
          <w:sz w:val="24"/>
        </w:rPr>
      </w:pPr>
      <w:r>
        <w:rPr>
          <w:rFonts w:hint="eastAsia" w:ascii="宋体" w:hAnsi="宋体"/>
          <w:sz w:val="24"/>
        </w:rPr>
        <w:t>承包人是否提供履约担保：</w:t>
      </w:r>
      <w:r>
        <w:rPr>
          <w:rFonts w:hint="eastAsia" w:ascii="宋体" w:hAnsi="宋体"/>
          <w:sz w:val="24"/>
          <w:u w:val="single"/>
        </w:rPr>
        <w:t>合同金额超过400万或工期超过6个月则需提供银行履约保函</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承包人提供履约担保的形式、金额及期限的：银行履约保函金额为签约合同价的10%，担保期为工程竣工验收完成。</w:t>
      </w:r>
    </w:p>
    <w:p>
      <w:pPr>
        <w:pStyle w:val="6"/>
        <w:ind w:left="103" w:leftChars="0" w:firstLineChars="0"/>
      </w:pPr>
      <w:bookmarkStart w:id="567" w:name="_Toc18683295"/>
      <w:r>
        <w:t>4</w:t>
      </w:r>
      <w:bookmarkStart w:id="568" w:name="_Toc267251413"/>
      <w:bookmarkStart w:id="569" w:name="_Toc296503162"/>
      <w:bookmarkStart w:id="570" w:name="_Toc296891202"/>
      <w:bookmarkStart w:id="571" w:name="_Toc296346663"/>
      <w:bookmarkStart w:id="572" w:name="_Toc297120462"/>
      <w:bookmarkStart w:id="573" w:name="_Toc292559871"/>
      <w:bookmarkStart w:id="574" w:name="_Toc296944501"/>
      <w:bookmarkStart w:id="575" w:name="_Toc292559366"/>
      <w:bookmarkStart w:id="576" w:name="_Toc297048348"/>
      <w:bookmarkStart w:id="577" w:name="_Toc296347161"/>
      <w:bookmarkStart w:id="578" w:name="_Toc296890990"/>
      <w:r>
        <w:t>. 监</w:t>
      </w:r>
      <w:bookmarkEnd w:id="568"/>
      <w:bookmarkEnd w:id="569"/>
      <w:bookmarkEnd w:id="570"/>
      <w:bookmarkEnd w:id="571"/>
      <w:bookmarkEnd w:id="572"/>
      <w:bookmarkEnd w:id="573"/>
      <w:bookmarkEnd w:id="574"/>
      <w:bookmarkEnd w:id="575"/>
      <w:bookmarkEnd w:id="576"/>
      <w:bookmarkEnd w:id="577"/>
      <w:bookmarkEnd w:id="578"/>
      <w:r>
        <w:t>理人</w:t>
      </w:r>
      <w:bookmarkEnd w:id="567"/>
    </w:p>
    <w:p>
      <w:pPr>
        <w:pStyle w:val="7"/>
        <w:ind w:firstLine="420"/>
        <w:rPr>
          <w:bCs w:val="0"/>
        </w:rPr>
      </w:pPr>
      <w:bookmarkStart w:id="579" w:name="_Toc18683296"/>
      <w:r>
        <w:rPr>
          <w:bCs w:val="0"/>
        </w:rPr>
        <w:t>4.1监理人的一般规定</w:t>
      </w:r>
      <w:bookmarkEnd w:id="579"/>
    </w:p>
    <w:p>
      <w:pPr>
        <w:spacing w:line="360" w:lineRule="exact"/>
        <w:ind w:firstLine="480"/>
        <w:jc w:val="left"/>
        <w:rPr>
          <w:rFonts w:ascii="宋体" w:hAnsi="宋体"/>
          <w:sz w:val="24"/>
        </w:rPr>
      </w:pPr>
      <w:r>
        <w:rPr>
          <w:rFonts w:ascii="宋体" w:hAnsi="宋体"/>
          <w:sz w:val="24"/>
        </w:rPr>
        <w:t>关于监理人的监理内容：。</w:t>
      </w:r>
    </w:p>
    <w:p>
      <w:pPr>
        <w:spacing w:line="360" w:lineRule="exact"/>
        <w:ind w:firstLine="480"/>
        <w:jc w:val="left"/>
        <w:rPr>
          <w:rFonts w:ascii="宋体" w:hAnsi="宋体"/>
          <w:sz w:val="24"/>
        </w:rPr>
      </w:pPr>
      <w:r>
        <w:rPr>
          <w:rFonts w:ascii="宋体" w:hAnsi="宋体"/>
          <w:sz w:val="24"/>
        </w:rPr>
        <w:t xml:space="preserve">关于监理人的监理权限：。 </w:t>
      </w:r>
    </w:p>
    <w:p>
      <w:pPr>
        <w:spacing w:line="360" w:lineRule="exact"/>
        <w:ind w:firstLine="480"/>
        <w:rPr>
          <w:rFonts w:ascii="宋体" w:hAnsi="宋体"/>
          <w:sz w:val="24"/>
          <w:u w:val="single"/>
        </w:rPr>
      </w:pPr>
      <w:r>
        <w:rPr>
          <w:rFonts w:ascii="宋体" w:hAnsi="宋体"/>
          <w:sz w:val="24"/>
        </w:rPr>
        <w:t>关于监理人在施工现场的办公场所、生活场所的提供和费用承担的约定：</w:t>
      </w:r>
    </w:p>
    <w:p>
      <w:pPr>
        <w:spacing w:line="360" w:lineRule="exact"/>
        <w:ind w:firstLine="480"/>
        <w:rPr>
          <w:rFonts w:ascii="宋体" w:hAnsi="宋体"/>
          <w:sz w:val="24"/>
        </w:rPr>
      </w:pPr>
      <w:r>
        <w:rPr>
          <w:rFonts w:ascii="宋体" w:hAnsi="宋体"/>
          <w:sz w:val="24"/>
        </w:rPr>
        <w:t>。</w:t>
      </w:r>
    </w:p>
    <w:p>
      <w:pPr>
        <w:pStyle w:val="7"/>
        <w:ind w:firstLine="420"/>
        <w:rPr>
          <w:bCs w:val="0"/>
        </w:rPr>
      </w:pPr>
      <w:bookmarkStart w:id="580" w:name="_Toc18683297"/>
      <w:r>
        <w:rPr>
          <w:bCs w:val="0"/>
        </w:rPr>
        <w:t>4.2 监理人员</w:t>
      </w:r>
      <w:bookmarkEnd w:id="580"/>
    </w:p>
    <w:p>
      <w:pPr>
        <w:spacing w:line="360" w:lineRule="exact"/>
        <w:ind w:firstLine="480"/>
        <w:rPr>
          <w:rFonts w:ascii="宋体" w:hAnsi="宋体"/>
          <w:sz w:val="24"/>
        </w:rPr>
      </w:pPr>
      <w:r>
        <w:rPr>
          <w:rFonts w:ascii="宋体" w:hAnsi="宋体"/>
          <w:sz w:val="24"/>
        </w:rPr>
        <w:t>总监理工程师：</w:t>
      </w:r>
    </w:p>
    <w:p>
      <w:pPr>
        <w:spacing w:line="360" w:lineRule="exact"/>
        <w:ind w:firstLine="480"/>
        <w:rPr>
          <w:rFonts w:ascii="宋体" w:hAnsi="宋体"/>
          <w:sz w:val="24"/>
        </w:rPr>
      </w:pPr>
      <w:r>
        <w:rPr>
          <w:rFonts w:ascii="宋体" w:hAnsi="宋体"/>
          <w:sz w:val="24"/>
        </w:rPr>
        <w:t>姓    名：</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职    务：</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监理工程师执业资格证书号：</w:t>
      </w:r>
      <w:r>
        <w:rPr>
          <w:rFonts w:ascii="宋体" w:hAnsi="宋体"/>
          <w:sz w:val="24"/>
          <w:u w:val="single"/>
        </w:rPr>
        <w:t> </w:t>
      </w:r>
      <w:r>
        <w:rPr>
          <w:rFonts w:ascii="宋体" w:hAnsi="宋体"/>
          <w:sz w:val="24"/>
        </w:rPr>
        <w:t>；</w:t>
      </w:r>
    </w:p>
    <w:p>
      <w:pPr>
        <w:spacing w:line="360" w:lineRule="exact"/>
        <w:ind w:firstLine="480"/>
        <w:rPr>
          <w:rFonts w:ascii="宋体" w:hAnsi="宋体"/>
          <w:sz w:val="24"/>
        </w:rPr>
      </w:pPr>
      <w:r>
        <w:rPr>
          <w:rFonts w:ascii="宋体" w:hAnsi="宋体"/>
          <w:sz w:val="24"/>
        </w:rPr>
        <w:t>联系电话：</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电子信箱：</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通信地址：</w:t>
      </w:r>
      <w:r>
        <w:rPr>
          <w:rFonts w:ascii="宋体" w:hAnsi="宋体"/>
          <w:sz w:val="24"/>
          <w:u w:val="single"/>
        </w:rPr>
        <w:t>   </w:t>
      </w:r>
      <w:r>
        <w:rPr>
          <w:rFonts w:ascii="宋体" w:hAnsi="宋体"/>
          <w:sz w:val="24"/>
        </w:rPr>
        <w:t>；</w:t>
      </w:r>
    </w:p>
    <w:p>
      <w:pPr>
        <w:spacing w:line="360" w:lineRule="exact"/>
        <w:ind w:firstLine="480"/>
        <w:rPr>
          <w:rFonts w:ascii="宋体" w:hAnsi="宋体"/>
          <w:sz w:val="24"/>
        </w:rPr>
      </w:pPr>
      <w:r>
        <w:rPr>
          <w:rFonts w:ascii="宋体" w:hAnsi="宋体"/>
          <w:sz w:val="24"/>
        </w:rPr>
        <w:t>关于监理人的其他约定：</w:t>
      </w:r>
      <w:r>
        <w:rPr>
          <w:rFonts w:ascii="宋体" w:hAnsi="宋体"/>
          <w:sz w:val="24"/>
          <w:u w:val="single"/>
        </w:rPr>
        <w:t>   </w:t>
      </w:r>
      <w:r>
        <w:rPr>
          <w:rFonts w:ascii="宋体" w:hAnsi="宋体"/>
          <w:sz w:val="24"/>
        </w:rPr>
        <w:t>。</w:t>
      </w:r>
    </w:p>
    <w:p>
      <w:pPr>
        <w:pStyle w:val="6"/>
        <w:ind w:left="103" w:leftChars="0" w:firstLineChars="0"/>
      </w:pPr>
      <w:bookmarkStart w:id="581" w:name="_Toc267251418"/>
      <w:bookmarkStart w:id="582" w:name="_Toc18683298"/>
      <w:r>
        <w:t>5</w:t>
      </w:r>
      <w:bookmarkEnd w:id="581"/>
      <w:bookmarkStart w:id="583" w:name="_Toc297120463"/>
      <w:bookmarkStart w:id="584" w:name="_Toc297048349"/>
      <w:bookmarkStart w:id="585" w:name="_Toc292559872"/>
      <w:bookmarkStart w:id="586" w:name="_Toc296944502"/>
      <w:bookmarkStart w:id="587" w:name="_Toc296503163"/>
      <w:bookmarkStart w:id="588" w:name="_Toc296890991"/>
      <w:bookmarkStart w:id="589" w:name="_Toc296347162"/>
      <w:bookmarkStart w:id="590" w:name="_Toc292559367"/>
      <w:bookmarkStart w:id="591" w:name="_Toc296346664"/>
      <w:bookmarkStart w:id="592" w:name="_Toc296891203"/>
      <w:r>
        <w:t>. 工程质量</w:t>
      </w:r>
      <w:bookmarkEnd w:id="582"/>
    </w:p>
    <w:p>
      <w:pPr>
        <w:pStyle w:val="7"/>
        <w:ind w:firstLine="420"/>
        <w:rPr>
          <w:bCs w:val="0"/>
        </w:rPr>
      </w:pPr>
      <w:bookmarkStart w:id="593" w:name="_Toc18683299"/>
      <w:r>
        <w:rPr>
          <w:bCs w:val="0"/>
        </w:rPr>
        <w:t>5.1 质量要求</w:t>
      </w:r>
      <w:bookmarkEnd w:id="593"/>
    </w:p>
    <w:p>
      <w:pPr>
        <w:spacing w:line="360" w:lineRule="exact"/>
        <w:ind w:firstLine="480"/>
        <w:jc w:val="left"/>
        <w:rPr>
          <w:rFonts w:ascii="宋体" w:hAnsi="宋体"/>
          <w:sz w:val="24"/>
        </w:rPr>
      </w:pPr>
      <w:r>
        <w:rPr>
          <w:rFonts w:hint="eastAsia" w:ascii="宋体" w:hAnsi="宋体"/>
          <w:sz w:val="24"/>
        </w:rPr>
        <w:t>乙方应按现行的国家施工验收规范和质量评定标准进行施工。</w:t>
      </w:r>
    </w:p>
    <w:p>
      <w:pPr>
        <w:spacing w:line="360" w:lineRule="exact"/>
        <w:ind w:firstLine="480"/>
        <w:jc w:val="left"/>
        <w:rPr>
          <w:rFonts w:ascii="宋体" w:hAnsi="宋体"/>
          <w:sz w:val="24"/>
        </w:rPr>
      </w:pPr>
      <w:r>
        <w:rPr>
          <w:rFonts w:ascii="宋体" w:hAnsi="宋体"/>
          <w:sz w:val="24"/>
        </w:rPr>
        <w:t>5</w:t>
      </w:r>
      <w:bookmarkStart w:id="594" w:name="_Toc303539106"/>
      <w:bookmarkStart w:id="595" w:name="_Toc297123496"/>
      <w:bookmarkStart w:id="596" w:name="_Toc300934949"/>
      <w:bookmarkStart w:id="597" w:name="_Toc297216155"/>
      <w:bookmarkStart w:id="598" w:name="_Toc318581164"/>
      <w:bookmarkStart w:id="599" w:name="_Toc312677997"/>
      <w:bookmarkStart w:id="600" w:name="_Toc304295527"/>
      <w:r>
        <w:rPr>
          <w:rFonts w:ascii="宋体" w:hAnsi="宋体"/>
          <w:sz w:val="24"/>
        </w:rPr>
        <w:t xml:space="preserve">.1.1 特殊质量标准和要求： </w:t>
      </w:r>
      <w:r>
        <w:rPr>
          <w:rFonts w:hint="eastAsia" w:ascii="宋体" w:hAnsi="宋体"/>
          <w:sz w:val="24"/>
          <w:u w:val="single"/>
        </w:rPr>
        <w:t xml:space="preserve">无  </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关于工程奖项的约定：</w:t>
      </w:r>
      <w:r>
        <w:rPr>
          <w:rFonts w:hint="eastAsia" w:ascii="宋体" w:hAnsi="宋体"/>
          <w:sz w:val="24"/>
          <w:u w:val="single"/>
        </w:rPr>
        <w:t>无</w:t>
      </w:r>
      <w:r>
        <w:rPr>
          <w:rFonts w:ascii="宋体" w:hAnsi="宋体"/>
          <w:sz w:val="24"/>
        </w:rPr>
        <w:t xml:space="preserve"> 。</w:t>
      </w:r>
    </w:p>
    <w:p>
      <w:pPr>
        <w:pStyle w:val="7"/>
        <w:ind w:firstLine="420"/>
        <w:rPr>
          <w:bCs w:val="0"/>
        </w:rPr>
      </w:pPr>
      <w:bookmarkStart w:id="601" w:name="_Toc18683300"/>
      <w:r>
        <w:rPr>
          <w:bCs w:val="0"/>
        </w:rPr>
        <w:t>5.2 隐蔽工程检查</w:t>
      </w:r>
      <w:bookmarkEnd w:id="601"/>
    </w:p>
    <w:p>
      <w:pPr>
        <w:spacing w:line="360" w:lineRule="exact"/>
        <w:ind w:firstLine="480"/>
        <w:jc w:val="left"/>
        <w:rPr>
          <w:rFonts w:ascii="宋体" w:hAnsi="宋体"/>
          <w:sz w:val="24"/>
        </w:rPr>
      </w:pPr>
      <w:r>
        <w:rPr>
          <w:rFonts w:ascii="宋体" w:hAnsi="宋体"/>
          <w:sz w:val="24"/>
        </w:rPr>
        <w:t>5.2.1承包人提前通知监理人</w:t>
      </w:r>
      <w:r>
        <w:rPr>
          <w:rFonts w:hint="eastAsia" w:ascii="宋体" w:hAnsi="宋体"/>
          <w:sz w:val="24"/>
        </w:rPr>
        <w:t>及发包人</w:t>
      </w:r>
      <w:r>
        <w:rPr>
          <w:rFonts w:ascii="宋体" w:hAnsi="宋体"/>
          <w:sz w:val="24"/>
        </w:rPr>
        <w:t xml:space="preserve">隐蔽工程检查的期限的约定： </w:t>
      </w:r>
      <w:r>
        <w:rPr>
          <w:rFonts w:hint="eastAsia" w:ascii="宋体" w:hAnsi="宋体"/>
          <w:sz w:val="24"/>
          <w:u w:val="single"/>
        </w:rPr>
        <w:t>提前1天</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监理人</w:t>
      </w:r>
      <w:r>
        <w:rPr>
          <w:rFonts w:hint="eastAsia" w:ascii="宋体" w:hAnsi="宋体"/>
          <w:sz w:val="24"/>
        </w:rPr>
        <w:t>及发包人</w:t>
      </w:r>
      <w:r>
        <w:rPr>
          <w:rFonts w:ascii="宋体" w:hAnsi="宋体"/>
          <w:sz w:val="24"/>
        </w:rPr>
        <w:t>不能按时进行检查时，应提前</w:t>
      </w:r>
      <w:r>
        <w:rPr>
          <w:rFonts w:hint="eastAsia" w:ascii="宋体" w:hAnsi="宋体"/>
          <w:sz w:val="24"/>
          <w:u w:val="single"/>
        </w:rPr>
        <w:t>2</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6"/>
        <w:ind w:left="103" w:leftChars="0" w:firstLineChars="0"/>
      </w:pPr>
      <w:bookmarkStart w:id="602" w:name="_Toc18683301"/>
      <w:r>
        <w:t>6. 安全文明施工与环境保护</w:t>
      </w:r>
      <w:bookmarkEnd w:id="602"/>
    </w:p>
    <w:p>
      <w:pPr>
        <w:pStyle w:val="7"/>
        <w:ind w:firstLine="420"/>
        <w:rPr>
          <w:bCs w:val="0"/>
        </w:rPr>
      </w:pPr>
      <w:bookmarkStart w:id="603" w:name="_Toc18683302"/>
      <w:r>
        <w:rPr>
          <w:bCs w:val="0"/>
        </w:rPr>
        <w:t>6.1安全文明施工</w:t>
      </w:r>
      <w:bookmarkEnd w:id="603"/>
    </w:p>
    <w:p>
      <w:pPr>
        <w:spacing w:line="360" w:lineRule="exact"/>
        <w:ind w:firstLine="480"/>
        <w:jc w:val="left"/>
        <w:rPr>
          <w:rFonts w:ascii="宋体" w:hAnsi="宋体"/>
          <w:sz w:val="24"/>
        </w:rPr>
      </w:pPr>
      <w:r>
        <w:rPr>
          <w:rFonts w:ascii="宋体" w:hAnsi="宋体"/>
          <w:sz w:val="24"/>
        </w:rPr>
        <w:t xml:space="preserve">6.1.1 项目安全生产的达标目标及相应事项的约定： </w:t>
      </w:r>
      <w:r>
        <w:rPr>
          <w:rFonts w:hint="eastAsia" w:ascii="宋体" w:hAnsi="宋体"/>
          <w:sz w:val="24"/>
          <w:u w:val="single"/>
        </w:rPr>
        <w:t>见附件</w:t>
      </w:r>
      <w:r>
        <w:rPr>
          <w:rFonts w:hint="eastAsia" w:ascii="宋体" w:hAnsi="宋体" w:cs="宋体"/>
          <w:sz w:val="24"/>
          <w:u w:val="single"/>
        </w:rPr>
        <w:t>《建设工程施工安全责任书》</w:t>
      </w:r>
      <w:r>
        <w:rPr>
          <w:rFonts w:ascii="宋体" w:hAnsi="宋体"/>
          <w:sz w:val="24"/>
        </w:rPr>
        <w:t xml:space="preserve"> 。</w:t>
      </w:r>
    </w:p>
    <w:p>
      <w:pPr>
        <w:spacing w:line="360" w:lineRule="exact"/>
        <w:ind w:firstLine="480"/>
        <w:jc w:val="left"/>
        <w:rPr>
          <w:rFonts w:ascii="宋体" w:hAnsi="宋体"/>
          <w:sz w:val="24"/>
          <w:u w:val="single"/>
        </w:rPr>
      </w:pPr>
      <w:r>
        <w:rPr>
          <w:rFonts w:ascii="宋体" w:hAnsi="宋体"/>
          <w:sz w:val="24"/>
        </w:rPr>
        <w:t xml:space="preserve">6.1.2 关于治安保卫的特别约定： </w:t>
      </w:r>
      <w:r>
        <w:rPr>
          <w:rFonts w:hint="eastAsia" w:ascii="宋体" w:hAnsi="宋体"/>
          <w:sz w:val="24"/>
          <w:u w:val="single"/>
        </w:rPr>
        <w:t>承包人负责施工现场的安全保卫工作、提供和维护夜间施工使用的照明、围护设施，并达到建设行政主管部门、相关单位及发包人对施工现场的要求。由承包人原因导致的安全或责任事故，相关一切费用和法律责任均由承包人承担。</w:t>
      </w:r>
    </w:p>
    <w:p>
      <w:pPr>
        <w:spacing w:line="360" w:lineRule="exact"/>
        <w:ind w:firstLine="480"/>
        <w:jc w:val="left"/>
        <w:rPr>
          <w:rFonts w:ascii="宋体" w:hAnsi="宋体"/>
          <w:sz w:val="24"/>
        </w:rPr>
      </w:pPr>
      <w:r>
        <w:rPr>
          <w:rFonts w:hint="eastAsia" w:ascii="宋体" w:hAnsi="宋体"/>
          <w:sz w:val="24"/>
        </w:rPr>
        <w:t>6.1.</w:t>
      </w:r>
      <w:r>
        <w:rPr>
          <w:rFonts w:ascii="宋体" w:hAnsi="宋体"/>
          <w:sz w:val="24"/>
        </w:rPr>
        <w:t>3</w:t>
      </w:r>
      <w:r>
        <w:rPr>
          <w:rFonts w:hint="eastAsia" w:ascii="宋体" w:hAnsi="宋体"/>
          <w:sz w:val="24"/>
        </w:rPr>
        <w:t xml:space="preserve"> 文明施工</w:t>
      </w:r>
    </w:p>
    <w:p>
      <w:pPr>
        <w:spacing w:line="360" w:lineRule="exact"/>
        <w:ind w:firstLine="480"/>
        <w:jc w:val="left"/>
        <w:rPr>
          <w:rFonts w:ascii="宋体" w:hAnsi="宋体"/>
          <w:sz w:val="24"/>
        </w:rPr>
      </w:pPr>
      <w:r>
        <w:rPr>
          <w:rFonts w:hint="eastAsia" w:ascii="宋体" w:hAnsi="宋体"/>
          <w:sz w:val="24"/>
        </w:rPr>
        <w:t>合同当事人对文明施工的要求：</w:t>
      </w:r>
      <w:r>
        <w:rPr>
          <w:rFonts w:hint="eastAsia" w:ascii="宋体" w:hAnsi="宋体"/>
          <w:sz w:val="24"/>
          <w:u w:val="single"/>
        </w:rPr>
        <w:t xml:space="preserve"> 承包人应按照北京市相关规定及发包人的管理制度执行 </w:t>
      </w:r>
      <w:r>
        <w:rPr>
          <w:rFonts w:hint="eastAsia" w:ascii="宋体" w:hAnsi="宋体"/>
          <w:sz w:val="24"/>
        </w:rPr>
        <w:t xml:space="preserve"> 。</w:t>
      </w:r>
    </w:p>
    <w:bookmarkEnd w:id="594"/>
    <w:bookmarkEnd w:id="595"/>
    <w:bookmarkEnd w:id="596"/>
    <w:bookmarkEnd w:id="597"/>
    <w:bookmarkEnd w:id="598"/>
    <w:bookmarkEnd w:id="599"/>
    <w:bookmarkEnd w:id="600"/>
    <w:p>
      <w:pPr>
        <w:pStyle w:val="6"/>
        <w:ind w:left="103" w:leftChars="0" w:firstLineChars="0"/>
      </w:pPr>
      <w:bookmarkStart w:id="604" w:name="_Toc18683303"/>
      <w:r>
        <w:t>7. 工期和进度</w:t>
      </w:r>
      <w:bookmarkEnd w:id="604"/>
    </w:p>
    <w:p>
      <w:pPr>
        <w:pStyle w:val="7"/>
        <w:ind w:firstLine="420"/>
        <w:rPr>
          <w:bCs w:val="0"/>
        </w:rPr>
      </w:pPr>
      <w:bookmarkStart w:id="605" w:name="_Toc18683304"/>
      <w:r>
        <w:rPr>
          <w:bCs w:val="0"/>
        </w:rPr>
        <w:t>7.1 施工组织设计</w:t>
      </w:r>
      <w:bookmarkEnd w:id="605"/>
    </w:p>
    <w:p>
      <w:pPr>
        <w:autoSpaceDE w:val="0"/>
        <w:autoSpaceDN w:val="0"/>
        <w:adjustRightInd w:val="0"/>
        <w:spacing w:line="360" w:lineRule="exact"/>
        <w:ind w:firstLine="480"/>
        <w:jc w:val="left"/>
        <w:rPr>
          <w:rFonts w:ascii="宋体" w:hAnsi="宋体"/>
          <w:sz w:val="24"/>
        </w:rPr>
      </w:pPr>
      <w:r>
        <w:rPr>
          <w:rFonts w:ascii="宋体" w:hAnsi="宋体"/>
          <w:sz w:val="24"/>
        </w:rPr>
        <w:t>7.1.</w:t>
      </w:r>
      <w:r>
        <w:rPr>
          <w:rFonts w:hint="eastAsia" w:ascii="宋体" w:hAnsi="宋体"/>
          <w:sz w:val="24"/>
        </w:rPr>
        <w:t>1 合同当事人约定的</w:t>
      </w:r>
      <w:r>
        <w:rPr>
          <w:rFonts w:ascii="宋体" w:hAnsi="宋体"/>
          <w:sz w:val="24"/>
        </w:rPr>
        <w:t>施工组织设计</w:t>
      </w:r>
      <w:r>
        <w:rPr>
          <w:rFonts w:hint="eastAsia" w:ascii="宋体" w:hAnsi="宋体"/>
          <w:sz w:val="24"/>
        </w:rPr>
        <w:t>应包括的其他内容</w:t>
      </w:r>
      <w:r>
        <w:rPr>
          <w:rFonts w:ascii="宋体" w:hAnsi="宋体"/>
          <w:sz w:val="24"/>
        </w:rPr>
        <w:t>：</w:t>
      </w:r>
      <w:r>
        <w:rPr>
          <w:rFonts w:hint="eastAsia" w:ascii="宋体" w:hAnsi="宋体"/>
          <w:sz w:val="24"/>
          <w:u w:val="single"/>
        </w:rPr>
        <w:t xml:space="preserve">  无   </w:t>
      </w:r>
      <w:r>
        <w:rPr>
          <w:rFonts w:ascii="宋体" w:hAnsi="宋体"/>
          <w:sz w:val="24"/>
        </w:rPr>
        <w:t>。</w:t>
      </w:r>
    </w:p>
    <w:p>
      <w:pPr>
        <w:autoSpaceDE w:val="0"/>
        <w:autoSpaceDN w:val="0"/>
        <w:adjustRightInd w:val="0"/>
        <w:spacing w:line="360" w:lineRule="exact"/>
        <w:ind w:firstLine="480"/>
        <w:jc w:val="left"/>
        <w:rPr>
          <w:rFonts w:ascii="宋体" w:hAnsi="宋体"/>
          <w:kern w:val="0"/>
          <w:sz w:val="24"/>
        </w:rPr>
      </w:pPr>
      <w:r>
        <w:rPr>
          <w:rFonts w:ascii="宋体" w:hAnsi="宋体"/>
          <w:sz w:val="24"/>
        </w:rPr>
        <w:t xml:space="preserve">7.1.2 </w:t>
      </w:r>
      <w:r>
        <w:rPr>
          <w:rFonts w:ascii="宋体" w:hAnsi="宋体"/>
          <w:kern w:val="0"/>
          <w:sz w:val="24"/>
        </w:rPr>
        <w:t>施工组织设计的提交和修改</w:t>
      </w:r>
    </w:p>
    <w:p>
      <w:pPr>
        <w:autoSpaceDE w:val="0"/>
        <w:autoSpaceDN w:val="0"/>
        <w:adjustRightInd w:val="0"/>
        <w:spacing w:line="360" w:lineRule="exact"/>
        <w:ind w:firstLine="480"/>
        <w:jc w:val="left"/>
        <w:rPr>
          <w:rFonts w:ascii="宋体" w:hAnsi="宋体"/>
          <w:sz w:val="24"/>
        </w:rPr>
      </w:pPr>
      <w:r>
        <w:rPr>
          <w:rFonts w:ascii="宋体" w:hAnsi="宋体"/>
          <w:kern w:val="0"/>
          <w:sz w:val="24"/>
        </w:rPr>
        <w:t>承包人提交详细施工组织设计的期限的约定：</w:t>
      </w:r>
      <w:r>
        <w:rPr>
          <w:rFonts w:hint="eastAsia" w:ascii="宋体" w:hAnsi="宋体"/>
          <w:sz w:val="24"/>
          <w:u w:val="single"/>
        </w:rPr>
        <w:t>施工作业开展前3日内</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发包人和监理人在收到</w:t>
      </w:r>
      <w:r>
        <w:rPr>
          <w:rFonts w:hint="eastAsia" w:ascii="宋体" w:hAnsi="宋体"/>
          <w:sz w:val="24"/>
        </w:rPr>
        <w:t>详细的施工组织设计</w:t>
      </w:r>
      <w:r>
        <w:rPr>
          <w:rFonts w:ascii="宋体" w:hAnsi="宋体"/>
          <w:sz w:val="24"/>
        </w:rPr>
        <w:t>后确认或提出修改意见的期限：</w:t>
      </w:r>
      <w:r>
        <w:rPr>
          <w:rFonts w:hint="eastAsia" w:ascii="宋体" w:hAnsi="宋体"/>
          <w:sz w:val="24"/>
          <w:u w:val="single"/>
        </w:rPr>
        <w:t>3日内。</w:t>
      </w:r>
    </w:p>
    <w:p>
      <w:pPr>
        <w:pStyle w:val="7"/>
        <w:ind w:firstLine="420"/>
      </w:pPr>
      <w:bookmarkStart w:id="606" w:name="_Toc18683305"/>
      <w:r>
        <w:t>7</w:t>
      </w:r>
      <w:bookmarkStart w:id="607" w:name="_Toc304295541"/>
      <w:bookmarkStart w:id="608" w:name="_Toc312678005"/>
      <w:bookmarkStart w:id="609" w:name="_Toc297216173"/>
      <w:bookmarkStart w:id="610" w:name="_Toc303539123"/>
      <w:bookmarkStart w:id="611" w:name="_Toc297123514"/>
      <w:bookmarkStart w:id="612" w:name="_Toc300934966"/>
      <w:bookmarkStart w:id="613" w:name="_Toc312677479"/>
      <w:r>
        <w:t>.2 施工进度计划</w:t>
      </w:r>
      <w:bookmarkEnd w:id="606"/>
    </w:p>
    <w:p>
      <w:pPr>
        <w:spacing w:line="360" w:lineRule="exact"/>
        <w:ind w:firstLine="480"/>
        <w:jc w:val="left"/>
        <w:rPr>
          <w:rFonts w:ascii="宋体" w:hAnsi="宋体"/>
          <w:sz w:val="24"/>
        </w:rPr>
      </w:pPr>
      <w:r>
        <w:rPr>
          <w:rFonts w:ascii="宋体" w:hAnsi="宋体"/>
          <w:sz w:val="24"/>
        </w:rPr>
        <w:t>7.2.1 施工进度计划的修订</w:t>
      </w:r>
    </w:p>
    <w:p>
      <w:pPr>
        <w:spacing w:line="360" w:lineRule="exact"/>
        <w:ind w:firstLine="480"/>
        <w:jc w:val="left"/>
        <w:rPr>
          <w:rFonts w:ascii="宋体" w:hAnsi="宋体"/>
          <w:sz w:val="24"/>
        </w:rPr>
      </w:pPr>
      <w:r>
        <w:rPr>
          <w:rFonts w:ascii="宋体" w:hAnsi="宋体"/>
          <w:sz w:val="24"/>
        </w:rPr>
        <w:t>发包人和监理人在收到修订的施工进度计划后确认或提出修改意见的期限：</w:t>
      </w:r>
      <w:r>
        <w:rPr>
          <w:rFonts w:hint="eastAsia" w:ascii="宋体" w:hAnsi="宋体"/>
          <w:sz w:val="24"/>
          <w:u w:val="single"/>
        </w:rPr>
        <w:t>3日内</w:t>
      </w:r>
      <w:r>
        <w:rPr>
          <w:rFonts w:ascii="宋体" w:hAnsi="宋体"/>
          <w:sz w:val="24"/>
        </w:rPr>
        <w:t>。</w:t>
      </w:r>
    </w:p>
    <w:p>
      <w:pPr>
        <w:pStyle w:val="7"/>
        <w:ind w:firstLine="420"/>
        <w:rPr>
          <w:bCs w:val="0"/>
        </w:rPr>
      </w:pPr>
      <w:bookmarkStart w:id="614" w:name="_Toc18683306"/>
      <w:r>
        <w:rPr>
          <w:bCs w:val="0"/>
        </w:rPr>
        <w:t>7.3 开工</w:t>
      </w:r>
      <w:bookmarkEnd w:id="614"/>
    </w:p>
    <w:p>
      <w:pPr>
        <w:pStyle w:val="7"/>
        <w:ind w:firstLine="420"/>
        <w:rPr>
          <w:bCs w:val="0"/>
        </w:rPr>
      </w:pPr>
      <w:bookmarkStart w:id="615" w:name="_Toc18683307"/>
      <w:r>
        <w:rPr>
          <w:bCs w:val="0"/>
        </w:rPr>
        <w:t>7.3.1 开工准备</w:t>
      </w:r>
      <w:bookmarkEnd w:id="615"/>
    </w:p>
    <w:p>
      <w:pPr>
        <w:spacing w:line="360" w:lineRule="exact"/>
        <w:ind w:firstLine="480"/>
        <w:jc w:val="left"/>
        <w:rPr>
          <w:rFonts w:ascii="宋体" w:hAnsi="宋体"/>
          <w:sz w:val="24"/>
          <w:u w:val="single"/>
        </w:rPr>
      </w:pPr>
      <w:r>
        <w:rPr>
          <w:rFonts w:ascii="宋体" w:hAnsi="宋体"/>
          <w:sz w:val="24"/>
        </w:rPr>
        <w:t>关于承包人提交</w:t>
      </w:r>
      <w:r>
        <w:rPr>
          <w:rFonts w:ascii="宋体" w:hAnsi="宋体"/>
          <w:kern w:val="0"/>
          <w:sz w:val="24"/>
        </w:rPr>
        <w:t>工程开工报审表的期限：</w:t>
      </w:r>
      <w:r>
        <w:rPr>
          <w:rFonts w:hint="eastAsia" w:ascii="宋体" w:hAnsi="宋体"/>
          <w:sz w:val="24"/>
          <w:u w:val="single"/>
        </w:rPr>
        <w:t>合同签定后3日内</w:t>
      </w:r>
      <w:r>
        <w:rPr>
          <w:rFonts w:ascii="宋体" w:hAnsi="宋体"/>
          <w:sz w:val="24"/>
        </w:rPr>
        <w:t>。</w:t>
      </w:r>
    </w:p>
    <w:p>
      <w:pPr>
        <w:spacing w:line="360" w:lineRule="exact"/>
        <w:ind w:firstLine="480"/>
        <w:jc w:val="left"/>
        <w:rPr>
          <w:rFonts w:ascii="宋体" w:hAnsi="宋体"/>
          <w:sz w:val="24"/>
        </w:rPr>
      </w:pPr>
      <w:r>
        <w:rPr>
          <w:rFonts w:ascii="宋体" w:hAnsi="宋体"/>
          <w:sz w:val="24"/>
        </w:rPr>
        <w:t>关于发包人应完成的其他开工准备工作及期限：</w:t>
      </w:r>
      <w:r>
        <w:rPr>
          <w:rFonts w:hint="eastAsia" w:ascii="宋体" w:hAnsi="宋体"/>
          <w:sz w:val="24"/>
          <w:u w:val="single"/>
        </w:rPr>
        <w:t>签发开工申请单</w:t>
      </w:r>
      <w:r>
        <w:rPr>
          <w:rFonts w:ascii="宋体" w:hAnsi="宋体"/>
          <w:sz w:val="24"/>
        </w:rPr>
        <w:t>。</w:t>
      </w:r>
    </w:p>
    <w:p>
      <w:pPr>
        <w:spacing w:line="360" w:lineRule="exact"/>
        <w:ind w:firstLine="480"/>
        <w:jc w:val="left"/>
        <w:rPr>
          <w:rFonts w:ascii="宋体" w:hAnsi="宋体"/>
          <w:sz w:val="24"/>
        </w:rPr>
      </w:pPr>
      <w:r>
        <w:rPr>
          <w:rFonts w:ascii="宋体" w:hAnsi="宋体"/>
          <w:sz w:val="24"/>
        </w:rPr>
        <w:t>关于承包人应完成的其他开工准备工作及期限：</w:t>
      </w:r>
      <w:r>
        <w:rPr>
          <w:rFonts w:hint="eastAsia" w:ascii="宋体" w:hAnsi="宋体"/>
          <w:sz w:val="24"/>
          <w:u w:val="single"/>
        </w:rPr>
        <w:t xml:space="preserve">无     </w:t>
      </w:r>
      <w:r>
        <w:rPr>
          <w:rFonts w:ascii="宋体" w:hAnsi="宋体"/>
          <w:sz w:val="24"/>
        </w:rPr>
        <w:t>。</w:t>
      </w:r>
    </w:p>
    <w:p>
      <w:pPr>
        <w:pStyle w:val="7"/>
        <w:ind w:firstLine="420"/>
        <w:rPr>
          <w:bCs w:val="0"/>
        </w:rPr>
      </w:pPr>
      <w:bookmarkStart w:id="616" w:name="_Toc18683308"/>
      <w:r>
        <w:rPr>
          <w:bCs w:val="0"/>
        </w:rPr>
        <w:t>7.3.2开工通知</w:t>
      </w:r>
      <w:bookmarkEnd w:id="616"/>
    </w:p>
    <w:p>
      <w:pPr>
        <w:spacing w:line="360" w:lineRule="exact"/>
        <w:ind w:firstLine="480"/>
        <w:jc w:val="left"/>
        <w:rPr>
          <w:rFonts w:ascii="宋体" w:hAnsi="宋体"/>
          <w:sz w:val="24"/>
        </w:rPr>
      </w:pPr>
      <w:r>
        <w:rPr>
          <w:rFonts w:ascii="宋体" w:hAnsi="宋体"/>
          <w:sz w:val="24"/>
        </w:rPr>
        <w:t>因发包人原因造成未能在</w:t>
      </w:r>
      <w:r>
        <w:rPr>
          <w:rFonts w:hint="eastAsia" w:ascii="宋体" w:hAnsi="宋体"/>
          <w:sz w:val="24"/>
        </w:rPr>
        <w:t>合同签定</w:t>
      </w:r>
      <w:r>
        <w:rPr>
          <w:rFonts w:ascii="宋体" w:hAnsi="宋体"/>
          <w:sz w:val="24"/>
        </w:rPr>
        <w:t>之日起</w:t>
      </w:r>
      <w:r>
        <w:rPr>
          <w:rFonts w:hint="eastAsia" w:ascii="宋体" w:hAnsi="宋体"/>
          <w:sz w:val="24"/>
          <w:u w:val="single"/>
        </w:rPr>
        <w:t>14</w:t>
      </w:r>
      <w:r>
        <w:rPr>
          <w:rFonts w:ascii="宋体" w:hAnsi="宋体"/>
          <w:sz w:val="24"/>
        </w:rPr>
        <w:t>天内发出开工通知的，承包人有权提出价格调整要求，或者解除合同。</w:t>
      </w:r>
    </w:p>
    <w:bookmarkEnd w:id="607"/>
    <w:bookmarkEnd w:id="608"/>
    <w:bookmarkEnd w:id="609"/>
    <w:bookmarkEnd w:id="610"/>
    <w:bookmarkEnd w:id="611"/>
    <w:bookmarkEnd w:id="612"/>
    <w:bookmarkEnd w:id="613"/>
    <w:p>
      <w:pPr>
        <w:pStyle w:val="7"/>
        <w:ind w:firstLine="420"/>
        <w:rPr>
          <w:bCs w:val="0"/>
        </w:rPr>
      </w:pPr>
      <w:bookmarkStart w:id="617" w:name="_Toc18683309"/>
      <w:r>
        <w:rPr>
          <w:bCs w:val="0"/>
        </w:rPr>
        <w:t>7.4 测量放线</w:t>
      </w:r>
      <w:bookmarkEnd w:id="617"/>
    </w:p>
    <w:p>
      <w:pPr>
        <w:spacing w:line="360" w:lineRule="exact"/>
        <w:ind w:firstLine="480"/>
        <w:jc w:val="left"/>
        <w:rPr>
          <w:rFonts w:ascii="宋体" w:hAnsi="宋体"/>
          <w:sz w:val="24"/>
          <w:u w:val="single"/>
        </w:rPr>
      </w:pPr>
      <w:r>
        <w:rPr>
          <w:rFonts w:ascii="宋体" w:hAnsi="宋体"/>
          <w:sz w:val="24"/>
        </w:rPr>
        <w:t>7.4.1发包人向承包人提供测量基准点、基准线和水准点及其书面资料的期限：</w:t>
      </w:r>
      <w:r>
        <w:rPr>
          <w:rFonts w:hint="eastAsia" w:ascii="宋体" w:hAnsi="宋体"/>
          <w:sz w:val="24"/>
          <w:u w:val="single"/>
        </w:rPr>
        <w:t>签发开工申请单3日内</w:t>
      </w:r>
      <w:r>
        <w:rPr>
          <w:rFonts w:ascii="宋体" w:hAnsi="宋体"/>
          <w:sz w:val="24"/>
        </w:rPr>
        <w:t>。</w:t>
      </w:r>
    </w:p>
    <w:p>
      <w:pPr>
        <w:pStyle w:val="7"/>
        <w:ind w:firstLine="420"/>
        <w:rPr>
          <w:bCs w:val="0"/>
        </w:rPr>
      </w:pPr>
      <w:bookmarkStart w:id="618" w:name="_Toc18683310"/>
      <w:r>
        <w:rPr>
          <w:bCs w:val="0"/>
        </w:rPr>
        <w:t>7</w:t>
      </w:r>
      <w:bookmarkStart w:id="619" w:name="_Toc303539125"/>
      <w:bookmarkStart w:id="620" w:name="_Toc297123516"/>
      <w:bookmarkStart w:id="621" w:name="_Toc297216175"/>
      <w:bookmarkStart w:id="622" w:name="_Toc312678010"/>
      <w:bookmarkStart w:id="623" w:name="_Toc304295546"/>
      <w:bookmarkStart w:id="624" w:name="_Toc300934968"/>
      <w:bookmarkStart w:id="625" w:name="_Toc312677484"/>
      <w:r>
        <w:rPr>
          <w:bCs w:val="0"/>
        </w:rPr>
        <w:t>.5 工期延误</w:t>
      </w:r>
      <w:bookmarkEnd w:id="618"/>
    </w:p>
    <w:bookmarkEnd w:id="619"/>
    <w:bookmarkEnd w:id="620"/>
    <w:bookmarkEnd w:id="621"/>
    <w:bookmarkEnd w:id="622"/>
    <w:bookmarkEnd w:id="623"/>
    <w:bookmarkEnd w:id="624"/>
    <w:bookmarkEnd w:id="625"/>
    <w:p>
      <w:pPr>
        <w:spacing w:line="360" w:lineRule="exact"/>
        <w:ind w:firstLine="480"/>
        <w:jc w:val="left"/>
        <w:rPr>
          <w:rFonts w:ascii="宋体" w:hAnsi="宋体"/>
          <w:sz w:val="24"/>
        </w:rPr>
      </w:pPr>
      <w:r>
        <w:rPr>
          <w:rFonts w:ascii="宋体" w:hAnsi="宋体"/>
          <w:sz w:val="24"/>
        </w:rPr>
        <w:t>7.5.1 因发包人原因导致工期延误</w:t>
      </w:r>
    </w:p>
    <w:p>
      <w:pPr>
        <w:spacing w:line="360" w:lineRule="exact"/>
        <w:ind w:firstLine="480"/>
        <w:jc w:val="left"/>
        <w:rPr>
          <w:rFonts w:ascii="宋体" w:hAnsi="宋体"/>
          <w:sz w:val="24"/>
        </w:rPr>
      </w:pPr>
      <w:r>
        <w:rPr>
          <w:rFonts w:ascii="宋体" w:hAnsi="宋体"/>
          <w:sz w:val="24"/>
        </w:rPr>
        <w:t>因发包人原因导致工期延误的其他情形：</w:t>
      </w:r>
      <w:r>
        <w:rPr>
          <w:rFonts w:hint="eastAsia" w:ascii="宋体" w:hAnsi="宋体"/>
          <w:sz w:val="24"/>
          <w:u w:val="single"/>
        </w:rPr>
        <w:t>现场施工影响正常医疗作业或遭病患投诉的</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由发包人原因造成的工期延误，承包人能得到工期顺延的，不得进行经济索赔。</w:t>
      </w:r>
    </w:p>
    <w:p>
      <w:pPr>
        <w:spacing w:line="360" w:lineRule="exact"/>
        <w:ind w:firstLine="480"/>
        <w:jc w:val="left"/>
        <w:rPr>
          <w:rFonts w:ascii="宋体" w:hAnsi="宋体"/>
          <w:sz w:val="24"/>
        </w:rPr>
      </w:pPr>
      <w:r>
        <w:rPr>
          <w:rFonts w:ascii="宋体" w:hAnsi="宋体"/>
          <w:sz w:val="24"/>
        </w:rPr>
        <w:t>7</w:t>
      </w:r>
      <w:bookmarkStart w:id="626" w:name="_Toc318581169"/>
      <w:bookmarkStart w:id="627" w:name="_Toc312678012"/>
      <w:bookmarkStart w:id="628" w:name="_Toc312677486"/>
      <w:bookmarkStart w:id="629" w:name="_Toc300934970"/>
      <w:bookmarkStart w:id="630" w:name="_Toc297216177"/>
      <w:bookmarkStart w:id="631" w:name="_Toc303539127"/>
      <w:bookmarkStart w:id="632" w:name="_Toc304295548"/>
      <w:bookmarkStart w:id="633" w:name="_Toc297123518"/>
      <w:r>
        <w:rPr>
          <w:rFonts w:ascii="宋体" w:hAnsi="宋体"/>
          <w:sz w:val="24"/>
        </w:rPr>
        <w:t>.5.2 因承包人原因导致工期延误</w:t>
      </w:r>
    </w:p>
    <w:bookmarkEnd w:id="626"/>
    <w:bookmarkEnd w:id="627"/>
    <w:bookmarkEnd w:id="628"/>
    <w:p>
      <w:pPr>
        <w:spacing w:line="360" w:lineRule="exact"/>
        <w:ind w:firstLine="480"/>
        <w:jc w:val="left"/>
        <w:rPr>
          <w:rFonts w:ascii="宋体" w:hAnsi="宋体"/>
          <w:sz w:val="24"/>
        </w:rPr>
      </w:pPr>
      <w:r>
        <w:rPr>
          <w:rFonts w:ascii="宋体" w:hAnsi="宋体"/>
          <w:sz w:val="24"/>
        </w:rPr>
        <w:t>因</w:t>
      </w:r>
      <w:bookmarkStart w:id="634" w:name="_Toc312678013"/>
      <w:bookmarkStart w:id="635" w:name="_Toc312677487"/>
      <w:bookmarkStart w:id="636" w:name="_Toc318581170"/>
      <w:r>
        <w:rPr>
          <w:rFonts w:ascii="宋体" w:hAnsi="宋体"/>
          <w:sz w:val="24"/>
        </w:rPr>
        <w:t>承包人原因造成工期延误，逾期竣工违约金的计算方法为：</w:t>
      </w:r>
      <w:r>
        <w:rPr>
          <w:rFonts w:hint="eastAsia" w:ascii="宋体" w:hAnsi="宋体"/>
          <w:sz w:val="24"/>
          <w:u w:val="single"/>
        </w:rPr>
        <w:t>每延迟一天，承包人赔偿发包人合同总价的5</w:t>
      </w:r>
      <w:r>
        <w:rPr>
          <w:rFonts w:ascii="Arial" w:hAnsi="Arial" w:cs="Arial"/>
          <w:sz w:val="24"/>
          <w:u w:val="single"/>
        </w:rPr>
        <w:t>‰</w:t>
      </w:r>
      <w:r>
        <w:rPr>
          <w:rFonts w:hint="eastAsia" w:ascii="宋体" w:hAnsi="宋体"/>
          <w:sz w:val="24"/>
          <w:u w:val="single"/>
        </w:rPr>
        <w:t>的违约金。同进承包人还必须赔偿发包人由此造成的全部损失，工期延误超过20天的，发包人有权解除合同，并且由承包人向发包人支付合同总价10%的违约金。</w:t>
      </w:r>
      <w:bookmarkEnd w:id="629"/>
      <w:bookmarkEnd w:id="630"/>
      <w:bookmarkEnd w:id="631"/>
      <w:bookmarkEnd w:id="632"/>
      <w:bookmarkEnd w:id="633"/>
      <w:bookmarkEnd w:id="634"/>
      <w:bookmarkEnd w:id="635"/>
    </w:p>
    <w:bookmarkEnd w:id="636"/>
    <w:p>
      <w:pPr>
        <w:spacing w:line="360" w:lineRule="exact"/>
        <w:ind w:firstLine="480"/>
        <w:jc w:val="left"/>
        <w:rPr>
          <w:rFonts w:ascii="宋体" w:hAnsi="宋体"/>
          <w:sz w:val="24"/>
        </w:rPr>
      </w:pPr>
      <w:r>
        <w:rPr>
          <w:rFonts w:ascii="宋体" w:hAnsi="宋体"/>
          <w:sz w:val="24"/>
        </w:rPr>
        <w:t>因承包人原因造成工期延误，逾</w:t>
      </w:r>
      <w:bookmarkStart w:id="637" w:name="_Toc312678014"/>
      <w:bookmarkStart w:id="638" w:name="_Toc318581171"/>
      <w:r>
        <w:rPr>
          <w:rFonts w:ascii="宋体" w:hAnsi="宋体"/>
          <w:sz w:val="24"/>
        </w:rPr>
        <w:t>期竣工违约金的上限：</w:t>
      </w:r>
      <w:r>
        <w:rPr>
          <w:rFonts w:hint="eastAsia" w:ascii="宋体" w:hAnsi="宋体"/>
          <w:sz w:val="24"/>
          <w:u w:val="single"/>
        </w:rPr>
        <w:t>合同总价的50%</w:t>
      </w:r>
      <w:r>
        <w:rPr>
          <w:rFonts w:ascii="宋体" w:hAnsi="宋体"/>
          <w:sz w:val="24"/>
        </w:rPr>
        <w:t>。</w:t>
      </w:r>
    </w:p>
    <w:bookmarkEnd w:id="637"/>
    <w:bookmarkEnd w:id="638"/>
    <w:p>
      <w:pPr>
        <w:pStyle w:val="7"/>
        <w:ind w:firstLine="420"/>
        <w:rPr>
          <w:bCs w:val="0"/>
        </w:rPr>
      </w:pPr>
      <w:bookmarkStart w:id="639" w:name="_Toc18683311"/>
      <w:r>
        <w:rPr>
          <w:bCs w:val="0"/>
        </w:rPr>
        <w:t>7</w:t>
      </w:r>
      <w:bookmarkStart w:id="640" w:name="_Toc312678015"/>
      <w:bookmarkStart w:id="641" w:name="_Toc297123519"/>
      <w:bookmarkStart w:id="642" w:name="_Toc300934971"/>
      <w:bookmarkStart w:id="643" w:name="_Toc297216178"/>
      <w:bookmarkStart w:id="644" w:name="_Toc304295549"/>
      <w:bookmarkStart w:id="645" w:name="_Toc303539128"/>
      <w:r>
        <w:rPr>
          <w:bCs w:val="0"/>
        </w:rPr>
        <w:t>.6 不</w:t>
      </w:r>
      <w:bookmarkEnd w:id="640"/>
      <w:bookmarkEnd w:id="641"/>
      <w:bookmarkEnd w:id="642"/>
      <w:bookmarkEnd w:id="643"/>
      <w:bookmarkEnd w:id="644"/>
      <w:bookmarkEnd w:id="645"/>
      <w:r>
        <w:rPr>
          <w:bCs w:val="0"/>
        </w:rPr>
        <w:t>利物质条件</w:t>
      </w:r>
      <w:bookmarkEnd w:id="639"/>
    </w:p>
    <w:p>
      <w:pPr>
        <w:spacing w:line="360" w:lineRule="exact"/>
        <w:ind w:firstLine="480"/>
        <w:jc w:val="left"/>
        <w:rPr>
          <w:rFonts w:ascii="宋体" w:hAnsi="宋体"/>
          <w:sz w:val="24"/>
        </w:rPr>
      </w:pPr>
      <w:bookmarkStart w:id="646" w:name="_Toc304295550"/>
      <w:bookmarkStart w:id="647" w:name="_Toc312678016"/>
      <w:bookmarkStart w:id="648" w:name="_Toc300934972"/>
      <w:bookmarkStart w:id="649" w:name="_Toc297216179"/>
      <w:bookmarkStart w:id="650" w:name="_Toc297123520"/>
      <w:bookmarkStart w:id="651" w:name="_Toc318581172"/>
      <w:bookmarkStart w:id="652" w:name="_Toc303539129"/>
      <w:r>
        <w:rPr>
          <w:rFonts w:ascii="宋体" w:hAnsi="宋体"/>
          <w:sz w:val="24"/>
        </w:rPr>
        <w:t>不利物质条件的其他情形和有关约定：</w:t>
      </w:r>
      <w:r>
        <w:rPr>
          <w:rFonts w:hint="eastAsia" w:ascii="宋体" w:hAnsi="宋体"/>
          <w:sz w:val="24"/>
          <w:u w:val="single"/>
        </w:rPr>
        <w:t>无</w:t>
      </w:r>
      <w:r>
        <w:rPr>
          <w:rFonts w:ascii="宋体" w:hAnsi="宋体"/>
          <w:sz w:val="24"/>
        </w:rPr>
        <w:t>。</w:t>
      </w:r>
    </w:p>
    <w:bookmarkEnd w:id="646"/>
    <w:bookmarkEnd w:id="647"/>
    <w:bookmarkEnd w:id="648"/>
    <w:bookmarkEnd w:id="649"/>
    <w:bookmarkEnd w:id="650"/>
    <w:bookmarkEnd w:id="651"/>
    <w:bookmarkEnd w:id="652"/>
    <w:p>
      <w:pPr>
        <w:pStyle w:val="7"/>
        <w:ind w:firstLine="420"/>
        <w:rPr>
          <w:bCs w:val="0"/>
        </w:rPr>
      </w:pPr>
      <w:bookmarkStart w:id="653" w:name="_Toc18683312"/>
      <w:r>
        <w:rPr>
          <w:bCs w:val="0"/>
        </w:rPr>
        <w:t>7</w:t>
      </w:r>
      <w:bookmarkStart w:id="654" w:name="_Toc297123521"/>
      <w:bookmarkStart w:id="655" w:name="_Toc312678017"/>
      <w:bookmarkStart w:id="656" w:name="_Toc303539130"/>
      <w:bookmarkStart w:id="657" w:name="_Toc300934973"/>
      <w:bookmarkStart w:id="658" w:name="_Toc304295551"/>
      <w:bookmarkStart w:id="659" w:name="_Toc297216180"/>
      <w:r>
        <w:rPr>
          <w:bCs w:val="0"/>
        </w:rPr>
        <w:t>.7异常恶劣的气候条件</w:t>
      </w:r>
      <w:bookmarkEnd w:id="653"/>
    </w:p>
    <w:bookmarkEnd w:id="654"/>
    <w:bookmarkEnd w:id="655"/>
    <w:bookmarkEnd w:id="656"/>
    <w:bookmarkEnd w:id="657"/>
    <w:bookmarkEnd w:id="658"/>
    <w:bookmarkEnd w:id="659"/>
    <w:p>
      <w:pPr>
        <w:spacing w:line="360" w:lineRule="exact"/>
        <w:ind w:firstLine="480"/>
        <w:jc w:val="left"/>
        <w:rPr>
          <w:rFonts w:ascii="宋体" w:hAnsi="宋体"/>
          <w:sz w:val="24"/>
        </w:rPr>
      </w:pPr>
      <w:r>
        <w:rPr>
          <w:rFonts w:ascii="宋体" w:hAnsi="宋体"/>
          <w:sz w:val="24"/>
        </w:rPr>
        <w:t>发包人和承包人同意以下情形视为异常恶劣的气候条件：</w:t>
      </w:r>
      <w:r>
        <w:rPr>
          <w:rFonts w:hint="eastAsia" w:ascii="宋体" w:hAnsi="宋体"/>
          <w:sz w:val="24"/>
          <w:u w:val="single"/>
        </w:rPr>
        <w:t>无</w:t>
      </w:r>
    </w:p>
    <w:p>
      <w:pPr>
        <w:pStyle w:val="7"/>
        <w:ind w:firstLine="420"/>
        <w:rPr>
          <w:bCs w:val="0"/>
        </w:rPr>
      </w:pPr>
      <w:bookmarkStart w:id="660" w:name="_Toc18683313"/>
      <w:r>
        <w:rPr>
          <w:bCs w:val="0"/>
        </w:rPr>
        <w:t>7.8 提前竣工的奖励</w:t>
      </w:r>
      <w:bookmarkEnd w:id="660"/>
    </w:p>
    <w:p>
      <w:pPr>
        <w:spacing w:line="360" w:lineRule="exact"/>
        <w:ind w:firstLine="480"/>
        <w:jc w:val="left"/>
        <w:rPr>
          <w:rFonts w:ascii="宋体" w:hAnsi="宋体"/>
          <w:sz w:val="24"/>
        </w:rPr>
      </w:pPr>
      <w:r>
        <w:rPr>
          <w:rFonts w:ascii="宋体" w:hAnsi="宋体"/>
          <w:sz w:val="24"/>
        </w:rPr>
        <w:t>7.8.1提前竣工的奖励：</w:t>
      </w:r>
      <w:r>
        <w:rPr>
          <w:rFonts w:hint="eastAsia" w:ascii="宋体" w:hAnsi="宋体"/>
          <w:sz w:val="24"/>
          <w:u w:val="single"/>
        </w:rPr>
        <w:t>无</w:t>
      </w:r>
      <w:r>
        <w:rPr>
          <w:rFonts w:ascii="宋体" w:hAnsi="宋体"/>
          <w:sz w:val="24"/>
        </w:rPr>
        <w:t>。</w:t>
      </w:r>
    </w:p>
    <w:p>
      <w:pPr>
        <w:pStyle w:val="6"/>
        <w:ind w:left="103" w:leftChars="0" w:firstLineChars="0"/>
      </w:pPr>
      <w:bookmarkStart w:id="661" w:name="_Toc18683314"/>
      <w:r>
        <w:t>8. 材料与设备</w:t>
      </w:r>
      <w:bookmarkEnd w:id="661"/>
    </w:p>
    <w:bookmarkEnd w:id="583"/>
    <w:bookmarkEnd w:id="584"/>
    <w:bookmarkEnd w:id="585"/>
    <w:bookmarkEnd w:id="586"/>
    <w:bookmarkEnd w:id="587"/>
    <w:bookmarkEnd w:id="588"/>
    <w:bookmarkEnd w:id="589"/>
    <w:bookmarkEnd w:id="590"/>
    <w:bookmarkEnd w:id="591"/>
    <w:bookmarkEnd w:id="592"/>
    <w:p>
      <w:pPr>
        <w:pStyle w:val="7"/>
        <w:ind w:firstLine="420"/>
        <w:rPr>
          <w:bCs w:val="0"/>
        </w:rPr>
      </w:pPr>
      <w:bookmarkStart w:id="662" w:name="_Toc18683315"/>
      <w:r>
        <w:rPr>
          <w:bCs w:val="0"/>
        </w:rPr>
        <w:t>8</w:t>
      </w:r>
      <w:bookmarkStart w:id="663" w:name="_Toc292559877"/>
      <w:bookmarkStart w:id="664" w:name="_Toc297216186"/>
      <w:bookmarkStart w:id="665" w:name="_Toc280868654"/>
      <w:bookmarkStart w:id="666" w:name="_Toc296891207"/>
      <w:bookmarkStart w:id="667" w:name="_Toc292559372"/>
      <w:bookmarkStart w:id="668" w:name="_Toc296347166"/>
      <w:bookmarkStart w:id="669" w:name="_Toc297120467"/>
      <w:bookmarkStart w:id="670" w:name="_Toc296944506"/>
      <w:bookmarkStart w:id="671" w:name="_Toc304295556"/>
      <w:bookmarkStart w:id="672" w:name="_Toc303539136"/>
      <w:bookmarkStart w:id="673" w:name="_Toc312678019"/>
      <w:bookmarkStart w:id="674" w:name="_Toc312677493"/>
      <w:bookmarkStart w:id="675" w:name="_Toc296890995"/>
      <w:bookmarkStart w:id="676" w:name="_Toc300934979"/>
      <w:bookmarkStart w:id="677" w:name="_Toc296346668"/>
      <w:bookmarkStart w:id="678" w:name="_Toc296503167"/>
      <w:bookmarkStart w:id="679" w:name="_Toc297048353"/>
      <w:bookmarkStart w:id="680" w:name="_Toc297123527"/>
      <w:bookmarkStart w:id="681" w:name="_Toc280868656"/>
      <w:bookmarkStart w:id="682" w:name="_Toc280868655"/>
      <w:bookmarkStart w:id="683" w:name="_Toc267251424"/>
      <w:r>
        <w:rPr>
          <w:bCs w:val="0"/>
        </w:rPr>
        <w:t>.1材料与工程设备的保管与使用</w:t>
      </w:r>
      <w:bookmarkEnd w:id="662"/>
    </w:p>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Pr>
        <w:spacing w:line="360" w:lineRule="exact"/>
        <w:ind w:firstLine="480"/>
        <w:jc w:val="left"/>
        <w:rPr>
          <w:rFonts w:ascii="宋体" w:hAnsi="宋体"/>
          <w:sz w:val="24"/>
        </w:rPr>
      </w:pPr>
      <w:r>
        <w:rPr>
          <w:rFonts w:ascii="宋体" w:hAnsi="宋体"/>
          <w:sz w:val="24"/>
        </w:rPr>
        <w:t>8</w:t>
      </w:r>
      <w:bookmarkStart w:id="684" w:name="_Toc292559373"/>
      <w:bookmarkStart w:id="685" w:name="_Toc292559878"/>
      <w:bookmarkStart w:id="686" w:name="_Toc297120468"/>
      <w:bookmarkStart w:id="687" w:name="_Toc296944507"/>
      <w:bookmarkStart w:id="688" w:name="_Toc318581173"/>
      <w:bookmarkStart w:id="689" w:name="_Toc297048354"/>
      <w:bookmarkStart w:id="690" w:name="_Toc296347167"/>
      <w:bookmarkStart w:id="691" w:name="_Toc303539137"/>
      <w:bookmarkStart w:id="692" w:name="_Toc312677494"/>
      <w:bookmarkStart w:id="693" w:name="_Toc297123528"/>
      <w:bookmarkStart w:id="694" w:name="_Toc312678020"/>
      <w:bookmarkStart w:id="695" w:name="_Toc296503168"/>
      <w:bookmarkStart w:id="696" w:name="_Toc296346669"/>
      <w:bookmarkStart w:id="697" w:name="_Toc300934980"/>
      <w:bookmarkStart w:id="698" w:name="_Toc296891208"/>
      <w:bookmarkStart w:id="699" w:name="_Toc304295557"/>
      <w:bookmarkStart w:id="700" w:name="_Toc296890996"/>
      <w:bookmarkStart w:id="701" w:name="_Toc297216187"/>
      <w:r>
        <w:rPr>
          <w:rFonts w:ascii="宋体" w:hAnsi="宋体"/>
          <w:sz w:val="24"/>
        </w:rPr>
        <w:t>.1.1发包人供应的材料设备的保管费用的承担：</w:t>
      </w:r>
      <w:r>
        <w:rPr>
          <w:rFonts w:hint="eastAsia" w:ascii="宋体" w:hAnsi="宋体"/>
          <w:sz w:val="24"/>
          <w:u w:val="single"/>
        </w:rPr>
        <w:t>由承包人承担，发包人供应的材料设备见附件2《发包人供应的材料设备一览表》</w:t>
      </w:r>
      <w:r>
        <w:rPr>
          <w:rFonts w:ascii="宋体" w:hAnsi="宋体"/>
          <w:sz w:val="24"/>
        </w:rPr>
        <w:t>。</w:t>
      </w:r>
      <w:bookmarkEnd w:id="684"/>
      <w:bookmarkEnd w:id="685"/>
    </w:p>
    <w:p>
      <w:pPr>
        <w:pStyle w:val="7"/>
        <w:ind w:firstLine="420"/>
        <w:rPr>
          <w:bCs w:val="0"/>
        </w:rPr>
      </w:pPr>
      <w:bookmarkStart w:id="702" w:name="_Toc18683316"/>
      <w:r>
        <w:rPr>
          <w:bCs w:val="0"/>
        </w:rPr>
        <w:t>8.2 样品</w:t>
      </w:r>
      <w:bookmarkEnd w:id="702"/>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8.2.1</w:t>
      </w:r>
      <w:r>
        <w:rPr>
          <w:rFonts w:ascii="宋体" w:hAnsi="宋体"/>
          <w:kern w:val="0"/>
          <w:sz w:val="24"/>
        </w:rPr>
        <w:tab/>
      </w:r>
      <w:r>
        <w:rPr>
          <w:rFonts w:ascii="宋体" w:hAnsi="宋体"/>
          <w:kern w:val="0"/>
          <w:sz w:val="24"/>
        </w:rPr>
        <w:t>样品的报送</w:t>
      </w:r>
      <w:r>
        <w:rPr>
          <w:rFonts w:hint="eastAsia" w:ascii="宋体" w:hAnsi="宋体"/>
          <w:kern w:val="0"/>
          <w:sz w:val="24"/>
        </w:rPr>
        <w:t>与封存</w:t>
      </w:r>
    </w:p>
    <w:p>
      <w:pPr>
        <w:autoSpaceDE w:val="0"/>
        <w:autoSpaceDN w:val="0"/>
        <w:adjustRightInd w:val="0"/>
        <w:spacing w:line="360" w:lineRule="exact"/>
        <w:ind w:firstLine="480"/>
        <w:jc w:val="left"/>
        <w:rPr>
          <w:rFonts w:ascii="宋体" w:hAnsi="宋体"/>
          <w:sz w:val="24"/>
        </w:rPr>
      </w:pPr>
      <w:r>
        <w:rPr>
          <w:rFonts w:ascii="宋体" w:hAnsi="宋体"/>
          <w:kern w:val="0"/>
          <w:sz w:val="24"/>
        </w:rPr>
        <w:t>需要承包人报送样品的材料或工程设备，样品的种类、名称、规格、数量要求</w:t>
      </w:r>
      <w:r>
        <w:rPr>
          <w:rFonts w:hint="eastAsia" w:ascii="宋体" w:hAnsi="宋体"/>
          <w:kern w:val="0"/>
          <w:sz w:val="24"/>
        </w:rPr>
        <w:t>：</w:t>
      </w:r>
      <w:r>
        <w:rPr>
          <w:rFonts w:hint="eastAsia" w:ascii="宋体" w:hAnsi="宋体"/>
          <w:sz w:val="24"/>
          <w:u w:val="single"/>
        </w:rPr>
        <w:t>开工前7日内由发包人提出</w:t>
      </w:r>
      <w:r>
        <w:rPr>
          <w:rFonts w:ascii="宋体" w:hAnsi="宋体"/>
          <w:sz w:val="24"/>
        </w:rPr>
        <w:t>。</w:t>
      </w:r>
    </w:p>
    <w:p>
      <w:pPr>
        <w:pStyle w:val="7"/>
        <w:ind w:firstLine="420"/>
        <w:rPr>
          <w:bCs w:val="0"/>
        </w:rPr>
      </w:pPr>
      <w:bookmarkStart w:id="703" w:name="_Toc18683317"/>
      <w:r>
        <w:rPr>
          <w:bCs w:val="0"/>
        </w:rPr>
        <w:t>8.3 施工设备和临时设施</w:t>
      </w:r>
      <w:bookmarkEnd w:id="703"/>
    </w:p>
    <w:p>
      <w:pPr>
        <w:autoSpaceDE w:val="0"/>
        <w:autoSpaceDN w:val="0"/>
        <w:adjustRightInd w:val="0"/>
        <w:spacing w:line="360" w:lineRule="exact"/>
        <w:ind w:firstLine="480"/>
        <w:jc w:val="left"/>
        <w:rPr>
          <w:rFonts w:ascii="宋体" w:hAnsi="宋体"/>
          <w:sz w:val="24"/>
        </w:rPr>
      </w:pPr>
      <w:r>
        <w:rPr>
          <w:rFonts w:ascii="宋体" w:hAnsi="宋体"/>
          <w:sz w:val="24"/>
        </w:rPr>
        <w:t>8.3.1 承包人提供的施工设备和临时设施</w:t>
      </w:r>
    </w:p>
    <w:p>
      <w:pPr>
        <w:autoSpaceDE w:val="0"/>
        <w:autoSpaceDN w:val="0"/>
        <w:adjustRightInd w:val="0"/>
        <w:spacing w:line="360" w:lineRule="exact"/>
        <w:ind w:firstLine="480"/>
        <w:jc w:val="left"/>
        <w:rPr>
          <w:rFonts w:ascii="宋体" w:hAnsi="宋体"/>
          <w:sz w:val="24"/>
        </w:rPr>
      </w:pPr>
      <w:r>
        <w:rPr>
          <w:rFonts w:ascii="宋体" w:hAnsi="宋体"/>
          <w:sz w:val="24"/>
        </w:rPr>
        <w:t>关于修建临时设施费用承担的约定：</w:t>
      </w:r>
      <w:r>
        <w:rPr>
          <w:rFonts w:hint="eastAsia" w:ascii="宋体" w:hAnsi="宋体"/>
          <w:sz w:val="24"/>
          <w:u w:val="single"/>
        </w:rPr>
        <w:t>由承包人承担</w:t>
      </w:r>
      <w:r>
        <w:rPr>
          <w:rFonts w:ascii="宋体" w:hAnsi="宋体"/>
          <w:sz w:val="24"/>
        </w:rPr>
        <w:t>。</w:t>
      </w:r>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Pr>
        <w:pStyle w:val="6"/>
        <w:ind w:left="103" w:leftChars="0" w:firstLineChars="0"/>
      </w:pPr>
      <w:bookmarkStart w:id="704" w:name="_Toc18683318"/>
      <w:r>
        <w:t>9</w:t>
      </w:r>
      <w:bookmarkEnd w:id="681"/>
      <w:bookmarkEnd w:id="682"/>
      <w:bookmarkEnd w:id="683"/>
      <w:bookmarkStart w:id="705" w:name="_Toc300934982"/>
      <w:bookmarkStart w:id="706" w:name="_Toc312677495"/>
      <w:bookmarkStart w:id="707" w:name="_Toc312678021"/>
      <w:bookmarkStart w:id="708" w:name="_Toc304295559"/>
      <w:bookmarkStart w:id="709" w:name="_Toc297216192"/>
      <w:bookmarkStart w:id="710" w:name="_Toc303539139"/>
      <w:bookmarkStart w:id="711" w:name="_Toc297123533"/>
      <w:bookmarkStart w:id="712" w:name="_Toc267251428"/>
      <w:bookmarkStart w:id="713" w:name="_Toc297048359"/>
      <w:bookmarkStart w:id="714" w:name="_Toc296346674"/>
      <w:bookmarkStart w:id="715" w:name="_Toc267251427"/>
      <w:bookmarkStart w:id="716" w:name="_Toc296503173"/>
      <w:bookmarkStart w:id="717" w:name="_Toc296944512"/>
      <w:bookmarkStart w:id="718" w:name="_Toc296347172"/>
      <w:bookmarkStart w:id="719" w:name="_Toc296891213"/>
      <w:bookmarkStart w:id="720" w:name="_Toc292559378"/>
      <w:bookmarkStart w:id="721" w:name="_Toc292559883"/>
      <w:bookmarkStart w:id="722" w:name="_Toc297120473"/>
      <w:bookmarkStart w:id="723" w:name="_Toc296891001"/>
      <w:r>
        <w:t>. 试验与检验</w:t>
      </w:r>
      <w:bookmarkEnd w:id="704"/>
    </w:p>
    <w:bookmarkEnd w:id="705"/>
    <w:bookmarkEnd w:id="706"/>
    <w:bookmarkEnd w:id="707"/>
    <w:bookmarkEnd w:id="708"/>
    <w:bookmarkEnd w:id="709"/>
    <w:bookmarkEnd w:id="710"/>
    <w:bookmarkEnd w:id="711"/>
    <w:p>
      <w:pPr>
        <w:pStyle w:val="7"/>
        <w:ind w:firstLine="420"/>
        <w:rPr>
          <w:bCs w:val="0"/>
        </w:rPr>
      </w:pPr>
      <w:bookmarkStart w:id="724" w:name="_Toc18683319"/>
      <w:r>
        <w:rPr>
          <w:bCs w:val="0"/>
        </w:rPr>
        <w:t>9</w:t>
      </w:r>
      <w:bookmarkStart w:id="725" w:name="_Toc297216193"/>
      <w:bookmarkStart w:id="726" w:name="_Toc300934983"/>
      <w:bookmarkStart w:id="727" w:name="_Toc312678022"/>
      <w:bookmarkStart w:id="728" w:name="_Toc304295560"/>
      <w:bookmarkStart w:id="729" w:name="_Toc303539140"/>
      <w:bookmarkStart w:id="730" w:name="_Toc312677496"/>
      <w:bookmarkStart w:id="731" w:name="_Toc297123534"/>
      <w:r>
        <w:rPr>
          <w:bCs w:val="0"/>
        </w:rPr>
        <w:t>.1试验设备与试验人员</w:t>
      </w:r>
      <w:bookmarkEnd w:id="724"/>
    </w:p>
    <w:bookmarkEnd w:id="725"/>
    <w:bookmarkEnd w:id="726"/>
    <w:bookmarkEnd w:id="727"/>
    <w:bookmarkEnd w:id="728"/>
    <w:bookmarkEnd w:id="729"/>
    <w:bookmarkEnd w:id="730"/>
    <w:bookmarkEnd w:id="731"/>
    <w:p>
      <w:pPr>
        <w:spacing w:line="360" w:lineRule="exact"/>
        <w:ind w:firstLine="480"/>
        <w:jc w:val="left"/>
        <w:rPr>
          <w:rFonts w:ascii="宋体" w:hAnsi="宋体"/>
          <w:sz w:val="24"/>
        </w:rPr>
      </w:pPr>
      <w:r>
        <w:rPr>
          <w:rFonts w:ascii="宋体" w:hAnsi="宋体"/>
          <w:sz w:val="24"/>
        </w:rPr>
        <w:t>9</w:t>
      </w:r>
      <w:bookmarkStart w:id="732" w:name="_Toc297123535"/>
      <w:bookmarkStart w:id="733" w:name="_Toc300934984"/>
      <w:bookmarkStart w:id="734" w:name="_Toc297216194"/>
      <w:bookmarkStart w:id="735" w:name="_Toc312678023"/>
      <w:bookmarkStart w:id="736" w:name="_Toc304295561"/>
      <w:bookmarkStart w:id="737" w:name="_Toc312677497"/>
      <w:bookmarkStart w:id="738" w:name="_Toc303539141"/>
      <w:bookmarkStart w:id="739" w:name="_Toc318581174"/>
      <w:r>
        <w:rPr>
          <w:rFonts w:ascii="宋体" w:hAnsi="宋体"/>
          <w:sz w:val="24"/>
        </w:rPr>
        <w:t>.1.1 试验设备</w:t>
      </w:r>
    </w:p>
    <w:p>
      <w:pPr>
        <w:spacing w:line="360" w:lineRule="exact"/>
        <w:ind w:firstLine="480"/>
        <w:jc w:val="left"/>
        <w:rPr>
          <w:rFonts w:ascii="宋体" w:hAnsi="宋体"/>
          <w:sz w:val="24"/>
        </w:rPr>
      </w:pPr>
      <w:r>
        <w:rPr>
          <w:rFonts w:ascii="宋体" w:hAnsi="宋体"/>
          <w:sz w:val="24"/>
        </w:rPr>
        <w:t>施工现场需要配置的试验场所：</w:t>
      </w:r>
      <w:bookmarkEnd w:id="732"/>
      <w:bookmarkEnd w:id="733"/>
      <w:bookmarkEnd w:id="734"/>
      <w:bookmarkEnd w:id="735"/>
      <w:bookmarkEnd w:id="736"/>
      <w:bookmarkEnd w:id="737"/>
      <w:bookmarkEnd w:id="738"/>
      <w:bookmarkStart w:id="740" w:name="_Toc312678024"/>
      <w:bookmarkStart w:id="741" w:name="_Toc304295562"/>
      <w:bookmarkStart w:id="742" w:name="_Toc300934985"/>
      <w:bookmarkStart w:id="743" w:name="_Toc297216195"/>
      <w:bookmarkStart w:id="744" w:name="_Toc312677498"/>
      <w:bookmarkStart w:id="745" w:name="_Toc303539142"/>
      <w:bookmarkStart w:id="746" w:name="_Toc297123536"/>
      <w:r>
        <w:rPr>
          <w:rFonts w:hint="eastAsia" w:ascii="宋体" w:hAnsi="宋体"/>
          <w:sz w:val="24"/>
          <w:u w:val="single"/>
        </w:rPr>
        <w:t>由承包人承担</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施工现场需要配备的试验设备：</w:t>
      </w:r>
      <w:r>
        <w:rPr>
          <w:rFonts w:hint="eastAsia" w:ascii="宋体" w:hAnsi="宋体"/>
          <w:sz w:val="24"/>
          <w:u w:val="single"/>
        </w:rPr>
        <w:t xml:space="preserve">由承包人承担 </w:t>
      </w:r>
      <w:r>
        <w:rPr>
          <w:rFonts w:ascii="宋体" w:hAnsi="宋体"/>
          <w:sz w:val="24"/>
        </w:rPr>
        <w:t>。</w:t>
      </w:r>
    </w:p>
    <w:p>
      <w:pPr>
        <w:spacing w:line="360" w:lineRule="exact"/>
        <w:ind w:firstLine="480"/>
        <w:jc w:val="left"/>
        <w:rPr>
          <w:rFonts w:ascii="宋体" w:hAnsi="宋体"/>
          <w:sz w:val="24"/>
        </w:rPr>
      </w:pPr>
      <w:r>
        <w:rPr>
          <w:rFonts w:ascii="宋体" w:hAnsi="宋体"/>
          <w:sz w:val="24"/>
        </w:rPr>
        <w:t>施工现场需要具备的其他试验条件：</w:t>
      </w:r>
      <w:r>
        <w:rPr>
          <w:rFonts w:hint="eastAsia" w:ascii="宋体" w:hAnsi="宋体"/>
          <w:sz w:val="24"/>
          <w:u w:val="single"/>
        </w:rPr>
        <w:t>无</w:t>
      </w:r>
      <w:r>
        <w:rPr>
          <w:rFonts w:ascii="宋体" w:hAnsi="宋体"/>
          <w:sz w:val="24"/>
        </w:rPr>
        <w:t>。</w:t>
      </w:r>
    </w:p>
    <w:p>
      <w:pPr>
        <w:pStyle w:val="7"/>
        <w:ind w:firstLine="420"/>
        <w:rPr>
          <w:bCs w:val="0"/>
        </w:rPr>
      </w:pPr>
      <w:bookmarkStart w:id="747" w:name="_Toc18683320"/>
      <w:r>
        <w:rPr>
          <w:bCs w:val="0"/>
        </w:rPr>
        <w:t>9.2 现场工艺试验</w:t>
      </w:r>
      <w:bookmarkEnd w:id="747"/>
    </w:p>
    <w:p>
      <w:pPr>
        <w:spacing w:line="360" w:lineRule="exact"/>
        <w:ind w:firstLine="480"/>
        <w:jc w:val="left"/>
        <w:rPr>
          <w:rFonts w:ascii="宋体" w:hAnsi="宋体"/>
          <w:sz w:val="24"/>
        </w:rPr>
      </w:pPr>
      <w:r>
        <w:rPr>
          <w:rFonts w:ascii="宋体" w:hAnsi="宋体"/>
          <w:sz w:val="24"/>
        </w:rPr>
        <w:t>现场工艺试验的有关约定：</w:t>
      </w:r>
      <w:r>
        <w:rPr>
          <w:rFonts w:hint="eastAsia" w:ascii="宋体" w:hAnsi="宋体"/>
          <w:sz w:val="24"/>
          <w:u w:val="single"/>
        </w:rPr>
        <w:t>无</w:t>
      </w:r>
      <w:r>
        <w:rPr>
          <w:rFonts w:ascii="宋体" w:hAnsi="宋体"/>
          <w:sz w:val="24"/>
        </w:rPr>
        <w:t>。</w:t>
      </w:r>
    </w:p>
    <w:bookmarkEnd w:id="739"/>
    <w:bookmarkEnd w:id="740"/>
    <w:bookmarkEnd w:id="741"/>
    <w:bookmarkEnd w:id="742"/>
    <w:bookmarkEnd w:id="743"/>
    <w:bookmarkEnd w:id="744"/>
    <w:bookmarkEnd w:id="745"/>
    <w:bookmarkEnd w:id="746"/>
    <w:p>
      <w:pPr>
        <w:pStyle w:val="6"/>
        <w:ind w:left="103" w:leftChars="0" w:firstLineChars="0"/>
      </w:pPr>
      <w:bookmarkStart w:id="748" w:name="_Toc18683321"/>
      <w:r>
        <w:t>1</w:t>
      </w:r>
      <w:bookmarkEnd w:id="712"/>
      <w:bookmarkEnd w:id="713"/>
      <w:bookmarkEnd w:id="714"/>
      <w:bookmarkEnd w:id="715"/>
      <w:bookmarkEnd w:id="716"/>
      <w:bookmarkEnd w:id="717"/>
      <w:bookmarkEnd w:id="718"/>
      <w:bookmarkEnd w:id="719"/>
      <w:bookmarkEnd w:id="720"/>
      <w:bookmarkEnd w:id="721"/>
      <w:bookmarkEnd w:id="722"/>
      <w:bookmarkEnd w:id="723"/>
      <w:bookmarkStart w:id="749" w:name="_Toc297216199"/>
      <w:bookmarkStart w:id="750" w:name="_Toc296944532"/>
      <w:bookmarkStart w:id="751" w:name="_Toc304295566"/>
      <w:bookmarkStart w:id="752" w:name="_Toc296503193"/>
      <w:bookmarkStart w:id="753" w:name="_Toc297048379"/>
      <w:bookmarkStart w:id="754" w:name="_Toc296891233"/>
      <w:bookmarkStart w:id="755" w:name="_Toc297123540"/>
      <w:bookmarkStart w:id="756" w:name="_Toc292559903"/>
      <w:bookmarkStart w:id="757" w:name="_Toc296346694"/>
      <w:bookmarkStart w:id="758" w:name="_Toc296891021"/>
      <w:bookmarkStart w:id="759" w:name="_Toc292559398"/>
      <w:bookmarkStart w:id="760" w:name="_Toc300934989"/>
      <w:bookmarkStart w:id="761" w:name="_Toc297120493"/>
      <w:bookmarkStart w:id="762" w:name="_Toc303539146"/>
      <w:bookmarkStart w:id="763" w:name="_Toc296347192"/>
      <w:bookmarkStart w:id="764" w:name="_Toc312677499"/>
      <w:bookmarkStart w:id="765" w:name="_Toc312678025"/>
      <w:bookmarkStart w:id="766" w:name="_Toc267251439"/>
      <w:bookmarkStart w:id="767" w:name="_Toc267251440"/>
      <w:bookmarkStart w:id="768" w:name="_Toc267251437"/>
      <w:bookmarkStart w:id="769" w:name="_Toc267251441"/>
      <w:bookmarkStart w:id="770" w:name="_Toc267251435"/>
      <w:bookmarkStart w:id="771" w:name="_Toc267251433"/>
      <w:bookmarkStart w:id="772" w:name="_Toc267251442"/>
      <w:r>
        <w:t>0. 变更</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bookmarkEnd w:id="764"/>
    <w:bookmarkEnd w:id="765"/>
    <w:p>
      <w:pPr>
        <w:pStyle w:val="7"/>
        <w:ind w:firstLine="420"/>
        <w:rPr>
          <w:bCs w:val="0"/>
        </w:rPr>
      </w:pPr>
      <w:bookmarkStart w:id="773" w:name="_Toc18683322"/>
      <w:r>
        <w:rPr>
          <w:bCs w:val="0"/>
        </w:rPr>
        <w:t>1</w:t>
      </w:r>
      <w:bookmarkStart w:id="774" w:name="_Toc297120494"/>
      <w:bookmarkStart w:id="775" w:name="_Toc297216200"/>
      <w:bookmarkStart w:id="776" w:name="_Toc296944533"/>
      <w:bookmarkStart w:id="777" w:name="_Toc296503194"/>
      <w:bookmarkStart w:id="778" w:name="_Toc312677500"/>
      <w:bookmarkStart w:id="779" w:name="_Toc292559904"/>
      <w:bookmarkStart w:id="780" w:name="_Toc292559399"/>
      <w:bookmarkStart w:id="781" w:name="_Toc312678026"/>
      <w:bookmarkStart w:id="782" w:name="_Toc300934990"/>
      <w:bookmarkStart w:id="783" w:name="_Toc296347193"/>
      <w:bookmarkStart w:id="784" w:name="_Toc304295567"/>
      <w:bookmarkStart w:id="785" w:name="_Toc303539147"/>
      <w:bookmarkStart w:id="786" w:name="_Toc296891022"/>
      <w:bookmarkStart w:id="787" w:name="_Toc296891234"/>
      <w:bookmarkStart w:id="788" w:name="_Toc297123541"/>
      <w:bookmarkStart w:id="789" w:name="_Toc296346695"/>
      <w:bookmarkStart w:id="790" w:name="_Toc297048380"/>
      <w:r>
        <w:rPr>
          <w:bCs w:val="0"/>
        </w:rPr>
        <w:t>0.1变更的范围</w:t>
      </w:r>
      <w:bookmarkEnd w:id="773"/>
    </w:p>
    <w:p>
      <w:pPr>
        <w:spacing w:line="360" w:lineRule="exact"/>
        <w:ind w:firstLine="480"/>
        <w:jc w:val="left"/>
        <w:rPr>
          <w:rFonts w:ascii="宋体" w:hAnsi="宋体"/>
          <w:sz w:val="24"/>
        </w:rPr>
      </w:pPr>
      <w:r>
        <w:rPr>
          <w:rFonts w:ascii="宋体" w:hAnsi="宋体"/>
          <w:sz w:val="24"/>
        </w:rPr>
        <w:t>关于变更的范围的约定：</w:t>
      </w:r>
      <w:r>
        <w:rPr>
          <w:rFonts w:hint="eastAsia" w:ascii="宋体" w:hAnsi="宋体"/>
          <w:sz w:val="24"/>
          <w:u w:val="single"/>
        </w:rPr>
        <w:t xml:space="preserve">见通用合同款 </w:t>
      </w:r>
      <w:r>
        <w:rPr>
          <w:rFonts w:ascii="宋体" w:hAnsi="宋体"/>
          <w:sz w:val="24"/>
        </w:rPr>
        <w:t>。</w:t>
      </w:r>
    </w:p>
    <w:p>
      <w:pPr>
        <w:pStyle w:val="7"/>
        <w:ind w:firstLine="420"/>
        <w:rPr>
          <w:bCs w:val="0"/>
        </w:rPr>
      </w:pPr>
      <w:bookmarkStart w:id="791" w:name="_Toc18683323"/>
      <w:r>
        <w:rPr>
          <w:bCs w:val="0"/>
        </w:rPr>
        <w:t>10.2 变更估价</w:t>
      </w:r>
      <w:bookmarkEnd w:id="791"/>
    </w:p>
    <w:p>
      <w:pPr>
        <w:spacing w:line="360" w:lineRule="exact"/>
        <w:ind w:firstLine="480"/>
        <w:jc w:val="left"/>
        <w:rPr>
          <w:rFonts w:ascii="宋体" w:hAnsi="宋体"/>
          <w:sz w:val="24"/>
        </w:rPr>
      </w:pPr>
      <w:r>
        <w:rPr>
          <w:rFonts w:hint="eastAsia" w:ascii="宋体" w:hAnsi="宋体"/>
          <w:sz w:val="24"/>
        </w:rPr>
        <w:t>10.</w:t>
      </w:r>
      <w:r>
        <w:rPr>
          <w:rFonts w:ascii="宋体" w:hAnsi="宋体"/>
          <w:sz w:val="24"/>
        </w:rPr>
        <w:t>2</w:t>
      </w:r>
      <w:r>
        <w:rPr>
          <w:rFonts w:hint="eastAsia" w:ascii="宋体" w:hAnsi="宋体"/>
          <w:sz w:val="24"/>
        </w:rPr>
        <w:t>.1 变更估价原则</w:t>
      </w:r>
    </w:p>
    <w:p>
      <w:pPr>
        <w:spacing w:line="360" w:lineRule="exact"/>
        <w:ind w:firstLine="480"/>
        <w:jc w:val="left"/>
        <w:rPr>
          <w:rFonts w:ascii="宋体" w:hAnsi="宋体"/>
          <w:sz w:val="24"/>
          <w:u w:val="single"/>
        </w:rPr>
      </w:pPr>
      <w:r>
        <w:rPr>
          <w:rFonts w:ascii="宋体" w:hAnsi="宋体"/>
          <w:sz w:val="24"/>
        </w:rPr>
        <w:t xml:space="preserve">关于变更估价的约定: </w:t>
      </w:r>
      <w:r>
        <w:rPr>
          <w:rFonts w:hint="eastAsia" w:ascii="宋体" w:hAnsi="宋体"/>
          <w:sz w:val="24"/>
          <w:u w:val="single"/>
        </w:rPr>
        <w:t>见通用合同条款</w:t>
      </w:r>
      <w:r>
        <w:rPr>
          <w:rFonts w:ascii="宋体" w:hAnsi="宋体"/>
          <w:sz w:val="24"/>
        </w:rPr>
        <w:t>。</w:t>
      </w:r>
    </w:p>
    <w:p>
      <w:pPr>
        <w:pStyle w:val="7"/>
        <w:ind w:firstLine="420"/>
        <w:rPr>
          <w:bCs w:val="0"/>
        </w:rPr>
      </w:pPr>
      <w:bookmarkStart w:id="792" w:name="_Toc18683324"/>
      <w:r>
        <w:rPr>
          <w:bCs w:val="0"/>
        </w:rPr>
        <w:t>1</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3" w:name="_Toc297216203"/>
      <w:bookmarkStart w:id="794" w:name="_Toc296346698"/>
      <w:bookmarkStart w:id="795" w:name="_Toc297123544"/>
      <w:bookmarkStart w:id="796" w:name="_Toc296503197"/>
      <w:bookmarkStart w:id="797" w:name="_Toc297048383"/>
      <w:bookmarkStart w:id="798" w:name="_Toc300934993"/>
      <w:bookmarkStart w:id="799" w:name="_Toc296891237"/>
      <w:bookmarkStart w:id="800" w:name="_Toc296891025"/>
      <w:bookmarkStart w:id="801" w:name="_Toc303539150"/>
      <w:bookmarkStart w:id="802" w:name="_Toc296347196"/>
      <w:bookmarkStart w:id="803" w:name="_Toc297120497"/>
      <w:bookmarkStart w:id="804" w:name="_Toc296944536"/>
      <w:bookmarkStart w:id="805" w:name="_Toc292559402"/>
      <w:bookmarkStart w:id="806" w:name="_Toc292559907"/>
      <w:bookmarkStart w:id="807" w:name="_Toc312677503"/>
      <w:bookmarkStart w:id="808" w:name="_Toc312678029"/>
      <w:bookmarkStart w:id="809" w:name="_Toc304295570"/>
      <w:r>
        <w:rPr>
          <w:bCs w:val="0"/>
        </w:rPr>
        <w:t>0.3承</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Start w:id="810" w:name="_Toc303539151"/>
      <w:bookmarkStart w:id="811" w:name="_Toc297216204"/>
      <w:bookmarkStart w:id="812" w:name="_Toc292559408"/>
      <w:bookmarkStart w:id="813" w:name="_Toc300934994"/>
      <w:bookmarkStart w:id="814" w:name="_Toc297120503"/>
      <w:bookmarkStart w:id="815" w:name="_Toc297123545"/>
      <w:bookmarkStart w:id="816" w:name="_Toc292559913"/>
      <w:bookmarkStart w:id="817" w:name="_Toc296503203"/>
      <w:bookmarkStart w:id="818" w:name="_Toc296347202"/>
      <w:bookmarkStart w:id="819" w:name="_Toc297048389"/>
      <w:bookmarkStart w:id="820" w:name="_Toc296891031"/>
      <w:bookmarkStart w:id="821" w:name="_Toc296891243"/>
      <w:bookmarkStart w:id="822" w:name="_Toc296944542"/>
      <w:bookmarkStart w:id="823" w:name="_Toc296346704"/>
      <w:r>
        <w:rPr>
          <w:bCs w:val="0"/>
        </w:rPr>
        <w:t>包人的合理化建议</w:t>
      </w:r>
      <w:bookmarkEnd w:id="792"/>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Pr>
        <w:spacing w:line="360" w:lineRule="exact"/>
        <w:ind w:firstLine="480"/>
        <w:jc w:val="left"/>
        <w:rPr>
          <w:rFonts w:ascii="宋体" w:hAnsi="宋体"/>
          <w:sz w:val="24"/>
        </w:rPr>
      </w:pPr>
      <w:r>
        <w:rPr>
          <w:rFonts w:ascii="宋体" w:hAnsi="宋体"/>
          <w:sz w:val="24"/>
        </w:rPr>
        <w:t>监理人审查承包人合理化建议的期限：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rPr>
      </w:pPr>
      <w:r>
        <w:rPr>
          <w:rFonts w:ascii="宋体" w:hAnsi="宋体"/>
          <w:sz w:val="24"/>
        </w:rPr>
        <w:t>发包人审批承包人合理化建议的期限：</w:t>
      </w:r>
      <w:r>
        <w:rPr>
          <w:rFonts w:hint="eastAsia" w:ascii="宋体" w:hAnsi="宋体"/>
          <w:sz w:val="24"/>
          <w:u w:val="single"/>
        </w:rPr>
        <w:t>3天</w:t>
      </w:r>
      <w:r>
        <w:rPr>
          <w:rFonts w:ascii="宋体" w:hAnsi="宋体"/>
          <w:sz w:val="24"/>
        </w:rPr>
        <w:t>。</w:t>
      </w:r>
    </w:p>
    <w:p>
      <w:pPr>
        <w:spacing w:line="360" w:lineRule="exact"/>
        <w:ind w:firstLine="480"/>
        <w:jc w:val="left"/>
        <w:rPr>
          <w:rFonts w:ascii="宋体" w:hAnsi="宋体"/>
          <w:sz w:val="24"/>
          <w:u w:val="single"/>
        </w:rPr>
      </w:pPr>
      <w:r>
        <w:rPr>
          <w:rFonts w:ascii="宋体" w:hAnsi="宋体"/>
          <w:sz w:val="24"/>
        </w:rPr>
        <w:t>承</w:t>
      </w:r>
      <w:bookmarkStart w:id="824" w:name="_Toc297048390"/>
      <w:bookmarkStart w:id="825" w:name="_Toc303539152"/>
      <w:bookmarkStart w:id="826" w:name="_Toc318581175"/>
      <w:bookmarkStart w:id="827" w:name="_Toc297123546"/>
      <w:bookmarkStart w:id="828" w:name="_Toc297120504"/>
      <w:bookmarkStart w:id="829" w:name="_Toc312678030"/>
      <w:bookmarkStart w:id="830" w:name="_Toc300934995"/>
      <w:bookmarkStart w:id="831" w:name="_Toc297216205"/>
      <w:bookmarkStart w:id="832" w:name="_Toc296346705"/>
      <w:bookmarkStart w:id="833" w:name="_Toc296891244"/>
      <w:bookmarkStart w:id="834" w:name="_Toc296347203"/>
      <w:bookmarkStart w:id="835" w:name="_Toc296891032"/>
      <w:bookmarkStart w:id="836" w:name="_Toc296944543"/>
      <w:bookmarkStart w:id="837" w:name="_Toc292559409"/>
      <w:bookmarkStart w:id="838" w:name="_Toc304295571"/>
      <w:bookmarkStart w:id="839" w:name="_Toc292559914"/>
      <w:bookmarkStart w:id="840" w:name="_Toc296503204"/>
      <w:bookmarkStart w:id="841" w:name="_Toc312677504"/>
      <w:r>
        <w:rPr>
          <w:rFonts w:ascii="宋体" w:hAnsi="宋体"/>
          <w:sz w:val="24"/>
        </w:rPr>
        <w:t>包人提出的合理化建议降低了合同价格或者提高了工程经济效益的奖励的方法和金额为：</w:t>
      </w:r>
      <w:r>
        <w:rPr>
          <w:rFonts w:hint="eastAsia" w:ascii="宋体" w:hAnsi="宋体"/>
          <w:sz w:val="24"/>
          <w:u w:val="single"/>
        </w:rPr>
        <w:t>按20%的比例奖励承包人</w:t>
      </w:r>
      <w:r>
        <w:rPr>
          <w:rFonts w:ascii="宋体" w:hAnsi="宋体"/>
          <w:sz w:val="24"/>
        </w:rPr>
        <w:t>。</w:t>
      </w:r>
    </w:p>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Pr>
        <w:pStyle w:val="7"/>
        <w:ind w:firstLine="420"/>
        <w:rPr>
          <w:bCs w:val="0"/>
        </w:rPr>
      </w:pPr>
      <w:bookmarkStart w:id="842" w:name="_Toc18683325"/>
      <w:r>
        <w:rPr>
          <w:bCs w:val="0"/>
        </w:rPr>
        <w:t>1</w:t>
      </w:r>
      <w:bookmarkStart w:id="843" w:name="_Toc312677507"/>
      <w:bookmarkStart w:id="844" w:name="_Toc296347198"/>
      <w:bookmarkStart w:id="845" w:name="_Toc297216207"/>
      <w:bookmarkStart w:id="846" w:name="_Toc296944538"/>
      <w:bookmarkStart w:id="847" w:name="_Toc300934997"/>
      <w:bookmarkStart w:id="848" w:name="_Toc296503199"/>
      <w:bookmarkStart w:id="849" w:name="_Toc296346700"/>
      <w:bookmarkStart w:id="850" w:name="_Toc297120499"/>
      <w:bookmarkStart w:id="851" w:name="_Toc296891027"/>
      <w:bookmarkStart w:id="852" w:name="_Toc312678033"/>
      <w:bookmarkStart w:id="853" w:name="_Toc303539154"/>
      <w:bookmarkStart w:id="854" w:name="_Toc292559404"/>
      <w:bookmarkStart w:id="855" w:name="_Toc297048385"/>
      <w:bookmarkStart w:id="856" w:name="_Toc297123548"/>
      <w:bookmarkStart w:id="857" w:name="_Toc296891239"/>
      <w:bookmarkStart w:id="858" w:name="_Toc304295574"/>
      <w:bookmarkStart w:id="859" w:name="_Toc292559909"/>
      <w:r>
        <w:rPr>
          <w:bCs w:val="0"/>
        </w:rPr>
        <w:t>0.4 暂估价</w:t>
      </w:r>
      <w:bookmarkEnd w:id="842"/>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Pr>
        <w:spacing w:line="360" w:lineRule="exact"/>
        <w:ind w:firstLine="480"/>
        <w:jc w:val="left"/>
        <w:rPr>
          <w:rFonts w:ascii="宋体" w:hAnsi="宋体"/>
          <w:sz w:val="24"/>
        </w:rPr>
      </w:pPr>
      <w:r>
        <w:rPr>
          <w:rFonts w:ascii="宋体" w:hAnsi="宋体"/>
          <w:kern w:val="0"/>
          <w:sz w:val="24"/>
        </w:rPr>
        <w:t>暂</w:t>
      </w:r>
      <w:bookmarkStart w:id="860" w:name="_Toc312678034"/>
      <w:bookmarkStart w:id="861" w:name="_Toc312677508"/>
      <w:bookmarkStart w:id="862" w:name="_Toc318581176"/>
      <w:r>
        <w:rPr>
          <w:rFonts w:ascii="宋体" w:hAnsi="宋体"/>
          <w:kern w:val="0"/>
          <w:sz w:val="24"/>
        </w:rPr>
        <w:t>估价材料和工程设备的明细详见附件</w:t>
      </w:r>
      <w:r>
        <w:rPr>
          <w:rFonts w:hint="eastAsia" w:ascii="宋体" w:hAnsi="宋体"/>
          <w:kern w:val="0"/>
          <w:sz w:val="24"/>
        </w:rPr>
        <w:t>8：</w:t>
      </w:r>
      <w:r>
        <w:rPr>
          <w:rFonts w:hint="eastAsia" w:ascii="宋体" w:hAnsi="宋体"/>
          <w:kern w:val="0"/>
          <w:sz w:val="24"/>
          <w:u w:val="single"/>
        </w:rPr>
        <w:t>《</w:t>
      </w:r>
      <w:r>
        <w:rPr>
          <w:rFonts w:ascii="宋体" w:hAnsi="宋体"/>
          <w:sz w:val="24"/>
          <w:u w:val="single"/>
        </w:rPr>
        <w:t>暂估价一览表</w:t>
      </w:r>
      <w:r>
        <w:rPr>
          <w:rFonts w:hint="eastAsia" w:ascii="宋体" w:hAnsi="宋体"/>
          <w:sz w:val="24"/>
          <w:u w:val="single"/>
        </w:rPr>
        <w:t>》</w:t>
      </w:r>
      <w:r>
        <w:rPr>
          <w:rFonts w:hint="eastAsia" w:ascii="宋体" w:hAnsi="宋体"/>
          <w:kern w:val="0"/>
          <w:sz w:val="24"/>
        </w:rPr>
        <w:t>。</w:t>
      </w:r>
    </w:p>
    <w:bookmarkEnd w:id="860"/>
    <w:bookmarkEnd w:id="861"/>
    <w:bookmarkEnd w:id="862"/>
    <w:p>
      <w:pPr>
        <w:spacing w:line="360" w:lineRule="exact"/>
        <w:ind w:firstLine="480"/>
        <w:jc w:val="left"/>
        <w:rPr>
          <w:rFonts w:ascii="宋体" w:hAnsi="宋体"/>
          <w:sz w:val="24"/>
        </w:rPr>
      </w:pPr>
      <w:r>
        <w:rPr>
          <w:rFonts w:ascii="宋体" w:hAnsi="宋体"/>
          <w:sz w:val="24"/>
        </w:rPr>
        <w:t>1</w:t>
      </w:r>
      <w:bookmarkStart w:id="863" w:name="_Toc318581177"/>
      <w:bookmarkStart w:id="864" w:name="_Toc312677509"/>
      <w:bookmarkStart w:id="865" w:name="_Toc312678035"/>
      <w:r>
        <w:rPr>
          <w:rFonts w:ascii="宋体" w:hAnsi="宋体"/>
          <w:sz w:val="24"/>
        </w:rPr>
        <w:t>0.4.1 依法必须招标的暂估价项目</w:t>
      </w:r>
    </w:p>
    <w:bookmarkEnd w:id="863"/>
    <w:bookmarkEnd w:id="864"/>
    <w:bookmarkEnd w:id="865"/>
    <w:p>
      <w:pPr>
        <w:spacing w:line="360" w:lineRule="exact"/>
        <w:ind w:firstLine="480"/>
        <w:jc w:val="left"/>
        <w:rPr>
          <w:rFonts w:ascii="宋体" w:hAnsi="宋体"/>
          <w:sz w:val="24"/>
        </w:rPr>
      </w:pPr>
      <w:r>
        <w:rPr>
          <w:rFonts w:ascii="宋体" w:hAnsi="宋体"/>
          <w:sz w:val="24"/>
        </w:rPr>
        <w:t>对于依法必须招标的暂估价项目的确认和批准采取第</w:t>
      </w:r>
      <w:r>
        <w:rPr>
          <w:rFonts w:hint="eastAsia" w:ascii="宋体" w:hAnsi="宋体"/>
          <w:sz w:val="24"/>
          <w:u w:val="single"/>
        </w:rPr>
        <w:t>1</w:t>
      </w:r>
      <w:r>
        <w:rPr>
          <w:rFonts w:ascii="宋体" w:hAnsi="宋体"/>
          <w:sz w:val="24"/>
        </w:rPr>
        <w:t>种方式确定。</w:t>
      </w:r>
    </w:p>
    <w:p>
      <w:pPr>
        <w:spacing w:line="360" w:lineRule="exact"/>
        <w:ind w:firstLine="480"/>
        <w:jc w:val="left"/>
        <w:rPr>
          <w:rFonts w:ascii="宋体" w:hAnsi="宋体"/>
          <w:sz w:val="24"/>
        </w:rPr>
      </w:pPr>
      <w:r>
        <w:rPr>
          <w:rFonts w:ascii="宋体" w:hAnsi="宋体"/>
          <w:sz w:val="24"/>
        </w:rPr>
        <w:t>10.4.2 不属于依法必须招标的暂估价项目</w:t>
      </w:r>
    </w:p>
    <w:p>
      <w:pPr>
        <w:spacing w:line="360" w:lineRule="exact"/>
        <w:ind w:firstLine="480"/>
        <w:jc w:val="left"/>
        <w:rPr>
          <w:rFonts w:ascii="宋体" w:hAnsi="宋体"/>
          <w:sz w:val="24"/>
        </w:rPr>
      </w:pPr>
      <w:r>
        <w:rPr>
          <w:rFonts w:ascii="宋体" w:hAnsi="宋体"/>
          <w:sz w:val="24"/>
        </w:rPr>
        <w:t>对于不属于依法必须招标的暂估价项目的确认和批准采取第</w:t>
      </w:r>
      <w:r>
        <w:rPr>
          <w:rFonts w:hint="eastAsia" w:ascii="宋体" w:hAnsi="宋体"/>
          <w:sz w:val="24"/>
          <w:u w:val="single"/>
        </w:rPr>
        <w:t>2</w:t>
      </w:r>
      <w:r>
        <w:rPr>
          <w:rFonts w:ascii="宋体" w:hAnsi="宋体"/>
          <w:sz w:val="24"/>
        </w:rPr>
        <w:t xml:space="preserve"> 种方式确定。</w:t>
      </w:r>
    </w:p>
    <w:p>
      <w:pPr>
        <w:spacing w:line="360" w:lineRule="exact"/>
        <w:ind w:firstLine="480"/>
        <w:jc w:val="left"/>
        <w:rPr>
          <w:rFonts w:ascii="宋体" w:hAnsi="宋体"/>
          <w:sz w:val="24"/>
        </w:rPr>
      </w:pPr>
      <w:r>
        <w:rPr>
          <w:rFonts w:ascii="宋体" w:hAnsi="宋体"/>
          <w:sz w:val="24"/>
        </w:rPr>
        <w:t>承包人直接实施的暂估价项目的约定：</w:t>
      </w:r>
      <w:r>
        <w:rPr>
          <w:rFonts w:hint="eastAsia" w:ascii="宋体" w:hAnsi="宋体"/>
          <w:sz w:val="24"/>
          <w:u w:val="single"/>
        </w:rPr>
        <w:t>无</w:t>
      </w:r>
      <w:r>
        <w:rPr>
          <w:rFonts w:ascii="宋体" w:hAnsi="宋体"/>
          <w:sz w:val="24"/>
        </w:rPr>
        <w:t>。</w:t>
      </w:r>
    </w:p>
    <w:p>
      <w:pPr>
        <w:pStyle w:val="7"/>
        <w:ind w:firstLine="420"/>
        <w:rPr>
          <w:bCs w:val="0"/>
        </w:rPr>
      </w:pPr>
      <w:bookmarkStart w:id="866" w:name="_Toc18683326"/>
      <w:r>
        <w:rPr>
          <w:bCs w:val="0"/>
        </w:rPr>
        <w:t>10.5 暂列金额</w:t>
      </w:r>
      <w:bookmarkEnd w:id="866"/>
    </w:p>
    <w:p>
      <w:pPr>
        <w:autoSpaceDE w:val="0"/>
        <w:autoSpaceDN w:val="0"/>
        <w:adjustRightInd w:val="0"/>
        <w:spacing w:line="360" w:lineRule="exact"/>
        <w:ind w:firstLine="480"/>
        <w:jc w:val="left"/>
        <w:rPr>
          <w:rFonts w:ascii="宋体" w:hAnsi="宋体"/>
          <w:kern w:val="0"/>
          <w:sz w:val="24"/>
        </w:rPr>
      </w:pPr>
      <w:r>
        <w:rPr>
          <w:rFonts w:hint="eastAsia" w:ascii="宋体" w:hAnsi="宋体"/>
          <w:kern w:val="0"/>
          <w:sz w:val="24"/>
        </w:rPr>
        <w:t>合同当事人关于暂列金额使用的约定：</w:t>
      </w:r>
      <w:r>
        <w:rPr>
          <w:rFonts w:hint="eastAsia" w:ascii="宋体" w:hAnsi="宋体"/>
          <w:sz w:val="24"/>
          <w:u w:val="single"/>
        </w:rPr>
        <w:t xml:space="preserve">按发包人的要求执行  </w:t>
      </w:r>
      <w:r>
        <w:rPr>
          <w:rFonts w:hint="eastAsia" w:ascii="宋体" w:hAnsi="宋体"/>
          <w:kern w:val="0"/>
          <w:sz w:val="24"/>
        </w:rPr>
        <w:t>。</w:t>
      </w:r>
    </w:p>
    <w:p>
      <w:pPr>
        <w:pStyle w:val="6"/>
        <w:ind w:left="103" w:leftChars="0" w:firstLineChars="0"/>
      </w:pPr>
      <w:bookmarkStart w:id="867" w:name="_Toc18683327"/>
      <w:r>
        <w:t>11. 价格调整</w:t>
      </w:r>
      <w:bookmarkEnd w:id="867"/>
    </w:p>
    <w:p>
      <w:pPr>
        <w:pStyle w:val="7"/>
        <w:ind w:firstLine="420"/>
        <w:rPr>
          <w:bCs w:val="0"/>
        </w:rPr>
      </w:pPr>
      <w:bookmarkStart w:id="868" w:name="_Toc18683328"/>
      <w:bookmarkStart w:id="869" w:name="_Toc300935000"/>
      <w:bookmarkStart w:id="870" w:name="_Toc292559911"/>
      <w:bookmarkStart w:id="871" w:name="_Toc296503201"/>
      <w:bookmarkStart w:id="872" w:name="_Toc296347200"/>
      <w:bookmarkStart w:id="873" w:name="_Toc297123550"/>
      <w:bookmarkStart w:id="874" w:name="_Toc296346702"/>
      <w:bookmarkStart w:id="875" w:name="_Toc292559406"/>
      <w:bookmarkStart w:id="876" w:name="_Toc297048387"/>
      <w:bookmarkStart w:id="877" w:name="_Toc297120501"/>
      <w:bookmarkStart w:id="878" w:name="_Toc296891241"/>
      <w:bookmarkStart w:id="879" w:name="_Toc304295577"/>
      <w:bookmarkStart w:id="880" w:name="_Toc312678039"/>
      <w:bookmarkStart w:id="881" w:name="_Toc303539157"/>
      <w:bookmarkStart w:id="882" w:name="_Toc296944540"/>
      <w:bookmarkStart w:id="883" w:name="_Toc297216209"/>
      <w:bookmarkStart w:id="884" w:name="_Toc296891029"/>
      <w:r>
        <w:rPr>
          <w:bCs w:val="0"/>
        </w:rPr>
        <w:t>11.1 市场价格波动引起的调整</w:t>
      </w:r>
      <w:bookmarkEnd w:id="868"/>
    </w:p>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Pr>
        <w:spacing w:line="360" w:lineRule="exact"/>
        <w:ind w:firstLine="480"/>
        <w:jc w:val="left"/>
        <w:rPr>
          <w:rFonts w:ascii="宋体" w:hAnsi="宋体"/>
          <w:sz w:val="24"/>
        </w:rPr>
      </w:pPr>
      <w:r>
        <w:rPr>
          <w:rFonts w:ascii="宋体" w:hAnsi="宋体"/>
          <w:kern w:val="0"/>
          <w:sz w:val="24"/>
        </w:rPr>
        <w:t>市场价格波动是否调整合同价格的约定：</w:t>
      </w:r>
      <w:r>
        <w:rPr>
          <w:rFonts w:hint="eastAsia" w:ascii="宋体" w:hAnsi="宋体"/>
          <w:sz w:val="24"/>
          <w:u w:val="single"/>
        </w:rPr>
        <w:t>调整</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市场价格波动风险调整范围包括：主要材料、人工和施工机械。</w:t>
      </w:r>
    </w:p>
    <w:p>
      <w:pPr>
        <w:spacing w:line="360" w:lineRule="exact"/>
        <w:ind w:firstLine="480"/>
        <w:jc w:val="left"/>
        <w:rPr>
          <w:rFonts w:ascii="宋体" w:hAnsi="宋体"/>
          <w:sz w:val="24"/>
        </w:rPr>
      </w:pPr>
      <w:r>
        <w:rPr>
          <w:rFonts w:ascii="宋体" w:hAnsi="宋体"/>
          <w:sz w:val="24"/>
        </w:rPr>
        <w:t>因市场价格波动调整合同价格，采用以下第</w:t>
      </w:r>
      <w:r>
        <w:rPr>
          <w:rFonts w:hint="eastAsia" w:ascii="宋体" w:hAnsi="宋体"/>
          <w:sz w:val="24"/>
          <w:u w:val="single"/>
        </w:rPr>
        <w:t>2</w:t>
      </w:r>
      <w:r>
        <w:rPr>
          <w:rFonts w:ascii="宋体" w:hAnsi="宋体"/>
          <w:sz w:val="24"/>
        </w:rPr>
        <w:t>种方式对合同价格进行调整：</w:t>
      </w:r>
    </w:p>
    <w:p>
      <w:pPr>
        <w:spacing w:line="360" w:lineRule="exact"/>
        <w:ind w:firstLine="480"/>
        <w:jc w:val="left"/>
        <w:rPr>
          <w:rFonts w:ascii="宋体" w:hAnsi="宋体"/>
          <w:sz w:val="24"/>
        </w:rPr>
      </w:pPr>
      <w:r>
        <w:rPr>
          <w:rFonts w:ascii="宋体" w:hAnsi="宋体"/>
          <w:sz w:val="24"/>
        </w:rPr>
        <w:t>第1种方式：采用价格指数</w:t>
      </w:r>
      <w:r>
        <w:rPr>
          <w:rFonts w:hint="eastAsia" w:ascii="宋体" w:hAnsi="宋体"/>
          <w:sz w:val="24"/>
        </w:rPr>
        <w:t>进行价格</w:t>
      </w:r>
      <w:r>
        <w:rPr>
          <w:rFonts w:ascii="宋体" w:hAnsi="宋体"/>
          <w:sz w:val="24"/>
        </w:rPr>
        <w:t>调整。</w:t>
      </w:r>
    </w:p>
    <w:p>
      <w:pPr>
        <w:spacing w:line="360" w:lineRule="exact"/>
        <w:ind w:firstLine="480"/>
        <w:jc w:val="left"/>
        <w:rPr>
          <w:rFonts w:ascii="宋体" w:hAnsi="宋体"/>
          <w:sz w:val="24"/>
          <w:u w:val="single"/>
        </w:rPr>
      </w:pPr>
      <w:r>
        <w:rPr>
          <w:rFonts w:ascii="宋体" w:hAnsi="宋体"/>
          <w:sz w:val="24"/>
        </w:rPr>
        <w:t>关于各可调因子、定值和变值权重，以及基本价格指数及其来源的约定：</w:t>
      </w:r>
      <w:r>
        <w:rPr>
          <w:rFonts w:hint="eastAsia" w:ascii="宋体" w:hAnsi="宋体"/>
          <w:sz w:val="24"/>
          <w:u w:val="single"/>
        </w:rPr>
        <w:t>无</w:t>
      </w:r>
      <w:r>
        <w:rPr>
          <w:rFonts w:ascii="宋体" w:hAnsi="宋体"/>
          <w:sz w:val="24"/>
        </w:rPr>
        <w:t xml:space="preserve">；  </w:t>
      </w:r>
    </w:p>
    <w:p>
      <w:pPr>
        <w:spacing w:line="360" w:lineRule="exact"/>
        <w:ind w:firstLine="480"/>
        <w:jc w:val="left"/>
        <w:rPr>
          <w:rFonts w:ascii="宋体" w:hAnsi="宋体"/>
          <w:sz w:val="24"/>
        </w:rPr>
      </w:pPr>
      <w:r>
        <w:rPr>
          <w:rFonts w:ascii="宋体" w:hAnsi="宋体"/>
          <w:sz w:val="24"/>
        </w:rPr>
        <w:t>第2种方式：采用造价信息</w:t>
      </w:r>
      <w:r>
        <w:rPr>
          <w:rFonts w:hint="eastAsia" w:ascii="宋体" w:hAnsi="宋体"/>
          <w:sz w:val="24"/>
        </w:rPr>
        <w:t>进行价格</w:t>
      </w:r>
      <w:r>
        <w:rPr>
          <w:rFonts w:ascii="宋体" w:hAnsi="宋体"/>
          <w:sz w:val="24"/>
        </w:rPr>
        <w:t>调整。</w:t>
      </w:r>
    </w:p>
    <w:p>
      <w:pPr>
        <w:spacing w:line="360" w:lineRule="exact"/>
        <w:ind w:firstLine="480"/>
        <w:jc w:val="left"/>
        <w:rPr>
          <w:rFonts w:ascii="宋体" w:hAnsi="宋体"/>
          <w:sz w:val="24"/>
        </w:rPr>
      </w:pPr>
      <w:r>
        <w:rPr>
          <w:rFonts w:ascii="宋体" w:hAnsi="宋体"/>
          <w:sz w:val="24"/>
        </w:rPr>
        <w:t>（2）关于基准价格的约定：</w:t>
      </w:r>
      <w:r>
        <w:rPr>
          <w:rFonts w:hint="eastAsia" w:ascii="宋体" w:hAnsi="宋体"/>
          <w:sz w:val="24"/>
          <w:u w:val="single"/>
        </w:rPr>
        <w:t>投标期信息价</w:t>
      </w:r>
      <w:r>
        <w:rPr>
          <w:rFonts w:ascii="宋体" w:hAnsi="宋体"/>
          <w:sz w:val="24"/>
        </w:rPr>
        <w:t>。</w:t>
      </w:r>
    </w:p>
    <w:p>
      <w:pPr>
        <w:spacing w:line="360" w:lineRule="exact"/>
        <w:ind w:firstLine="480"/>
        <w:jc w:val="left"/>
        <w:rPr>
          <w:rFonts w:ascii="宋体" w:hAnsi="宋体"/>
          <w:sz w:val="24"/>
        </w:rPr>
      </w:pPr>
      <w:r>
        <w:rPr>
          <w:rFonts w:ascii="宋体" w:hAnsi="宋体"/>
          <w:sz w:val="24"/>
        </w:rPr>
        <w:t>专用合同条款</w:t>
      </w:r>
      <w:r>
        <w:rPr>
          <w:rFonts w:hint="eastAsia" w:ascii="宋体" w:hAnsi="宋体"/>
          <w:sz w:val="24"/>
        </w:rPr>
        <w:t>：</w:t>
      </w:r>
    </w:p>
    <w:p>
      <w:pPr>
        <w:spacing w:line="360" w:lineRule="exact"/>
        <w:ind w:firstLine="480"/>
        <w:jc w:val="left"/>
        <w:rPr>
          <w:rFonts w:ascii="宋体" w:hAnsi="宋体"/>
          <w:sz w:val="24"/>
        </w:rPr>
      </w:pPr>
      <w:r>
        <w:rPr>
          <w:rFonts w:hint="eastAsia" w:ascii="宋体" w:hAnsi="宋体" w:cs="宋体"/>
          <w:sz w:val="24"/>
        </w:rPr>
        <w:t>①</w:t>
      </w:r>
      <w:r>
        <w:rPr>
          <w:rFonts w:ascii="宋体" w:hAnsi="宋体"/>
          <w:sz w:val="24"/>
        </w:rPr>
        <w:t>承包人在已标价工程量清单或预算书中载明的材料单价低于基准价格的：专用合同条款合同履行期间</w:t>
      </w:r>
      <w:r>
        <w:rPr>
          <w:rFonts w:hint="eastAsia" w:ascii="宋体" w:hAnsi="宋体"/>
          <w:sz w:val="24"/>
        </w:rPr>
        <w:t>的信息价</w:t>
      </w:r>
      <w:r>
        <w:rPr>
          <w:rFonts w:ascii="宋体" w:hAnsi="宋体"/>
          <w:sz w:val="24"/>
        </w:rPr>
        <w:t>涨幅以基准价格为基础超过</w:t>
      </w:r>
      <w:r>
        <w:rPr>
          <w:rFonts w:hint="eastAsia" w:ascii="宋体" w:hAnsi="宋体"/>
          <w:sz w:val="24"/>
          <w:u w:val="single"/>
        </w:rPr>
        <w:t>15</w:t>
      </w:r>
      <w:r>
        <w:rPr>
          <w:rFonts w:ascii="宋体" w:hAnsi="宋体"/>
          <w:sz w:val="24"/>
        </w:rPr>
        <w:t>%时，或材料单价跌幅以已标价工程量清单或预算书中载明材料单价为基础超过</w:t>
      </w:r>
      <w:r>
        <w:rPr>
          <w:rFonts w:hint="eastAsia" w:ascii="宋体" w:hAnsi="宋体"/>
          <w:sz w:val="24"/>
          <w:u w:val="single"/>
        </w:rPr>
        <w:t>5</w:t>
      </w:r>
      <w:r>
        <w:rPr>
          <w:rFonts w:ascii="宋体" w:hAnsi="宋体"/>
          <w:sz w:val="24"/>
        </w:rPr>
        <w:t>%时，其超过部分据实调整。</w:t>
      </w:r>
    </w:p>
    <w:p>
      <w:pPr>
        <w:spacing w:line="360" w:lineRule="exact"/>
        <w:ind w:firstLine="480"/>
        <w:jc w:val="left"/>
        <w:rPr>
          <w:rFonts w:ascii="宋体" w:hAnsi="宋体"/>
          <w:sz w:val="24"/>
        </w:rPr>
      </w:pPr>
      <w:r>
        <w:rPr>
          <w:rFonts w:hint="eastAsia" w:ascii="宋体" w:hAnsi="宋体" w:cs="宋体"/>
          <w:sz w:val="24"/>
        </w:rPr>
        <w:t>②</w:t>
      </w:r>
      <w:r>
        <w:rPr>
          <w:rFonts w:ascii="宋体" w:hAnsi="宋体"/>
          <w:sz w:val="24"/>
        </w:rPr>
        <w:t>承包人在已标价工程量清单或预算书中载明的材料单价高于基准价格的：专用合同条款合同履行期间材料单价跌幅以基准价格为基础超过</w:t>
      </w:r>
      <w:r>
        <w:rPr>
          <w:rFonts w:hint="eastAsia" w:ascii="宋体" w:hAnsi="宋体"/>
          <w:sz w:val="24"/>
          <w:u w:val="single"/>
        </w:rPr>
        <w:t>5</w:t>
      </w:r>
      <w:r>
        <w:rPr>
          <w:rFonts w:ascii="宋体" w:hAnsi="宋体"/>
          <w:sz w:val="24"/>
        </w:rPr>
        <w:t>%时，材料单价涨幅以已标价工程量清单或预算书中载明材料单价为基础超过</w:t>
      </w:r>
      <w:r>
        <w:rPr>
          <w:rFonts w:hint="eastAsia" w:ascii="宋体" w:hAnsi="宋体"/>
          <w:sz w:val="24"/>
          <w:u w:val="single"/>
        </w:rPr>
        <w:t>15</w:t>
      </w:r>
      <w:r>
        <w:rPr>
          <w:rFonts w:ascii="宋体" w:hAnsi="宋体"/>
          <w:sz w:val="24"/>
        </w:rPr>
        <w:t>%时，其超过部分据实调整。</w:t>
      </w:r>
    </w:p>
    <w:p>
      <w:pPr>
        <w:spacing w:line="360" w:lineRule="exact"/>
        <w:ind w:firstLine="480"/>
        <w:jc w:val="left"/>
        <w:rPr>
          <w:rFonts w:ascii="宋体" w:hAnsi="宋体"/>
          <w:sz w:val="24"/>
        </w:rPr>
      </w:pPr>
      <w:r>
        <w:rPr>
          <w:rFonts w:hint="eastAsia" w:ascii="宋体" w:hAnsi="宋体" w:cs="宋体"/>
          <w:sz w:val="24"/>
        </w:rPr>
        <w:t>③</w:t>
      </w:r>
      <w:r>
        <w:rPr>
          <w:rFonts w:ascii="宋体" w:hAnsi="宋体"/>
          <w:sz w:val="24"/>
        </w:rPr>
        <w:t>承包人在已标价工程量清单或预算书中载明的材料单价等于基准单价的：专用合同条款合同履行期间材料单价涨跌幅以基准单价为基础超过±</w:t>
      </w:r>
      <w:r>
        <w:rPr>
          <w:rFonts w:hint="eastAsia" w:ascii="宋体" w:hAnsi="宋体"/>
          <w:sz w:val="24"/>
          <w:u w:val="single"/>
        </w:rPr>
        <w:t>15</w:t>
      </w:r>
      <w:r>
        <w:rPr>
          <w:rFonts w:ascii="宋体" w:hAnsi="宋体"/>
          <w:sz w:val="24"/>
        </w:rPr>
        <w:t>%时，其超过部分据实调整。</w:t>
      </w:r>
    </w:p>
    <w:p>
      <w:pPr>
        <w:spacing w:line="360" w:lineRule="exact"/>
        <w:ind w:firstLine="480"/>
        <w:jc w:val="left"/>
        <w:rPr>
          <w:rFonts w:ascii="宋体" w:hAnsi="宋体"/>
          <w:sz w:val="24"/>
        </w:rPr>
      </w:pPr>
      <w:r>
        <w:rPr>
          <w:rFonts w:ascii="宋体" w:hAnsi="宋体"/>
          <w:sz w:val="24"/>
        </w:rPr>
        <w:t>第3种方式：其他价格调整方式：</w:t>
      </w:r>
      <w:r>
        <w:rPr>
          <w:rFonts w:hint="eastAsia" w:ascii="宋体" w:hAnsi="宋体"/>
          <w:sz w:val="24"/>
          <w:u w:val="single"/>
        </w:rPr>
        <w:t xml:space="preserve">无 </w:t>
      </w:r>
      <w:r>
        <w:rPr>
          <w:rFonts w:ascii="宋体" w:hAnsi="宋体"/>
          <w:sz w:val="24"/>
        </w:rPr>
        <w:t>。</w:t>
      </w:r>
    </w:p>
    <w:bookmarkEnd w:id="766"/>
    <w:bookmarkEnd w:id="767"/>
    <w:bookmarkEnd w:id="768"/>
    <w:bookmarkEnd w:id="769"/>
    <w:bookmarkEnd w:id="770"/>
    <w:bookmarkEnd w:id="771"/>
    <w:p>
      <w:pPr>
        <w:pStyle w:val="6"/>
        <w:ind w:left="103" w:leftChars="0" w:firstLineChars="0"/>
      </w:pPr>
      <w:bookmarkStart w:id="885" w:name="_Toc296503205"/>
      <w:bookmarkStart w:id="886" w:name="_Toc292559410"/>
      <w:bookmarkStart w:id="887" w:name="_Toc296944544"/>
      <w:bookmarkStart w:id="888" w:name="_Toc297120505"/>
      <w:bookmarkStart w:id="889" w:name="_Toc296346706"/>
      <w:bookmarkStart w:id="890" w:name="_Toc296891245"/>
      <w:bookmarkStart w:id="891" w:name="_Toc296347204"/>
      <w:bookmarkStart w:id="892" w:name="_Toc292559915"/>
      <w:bookmarkStart w:id="893" w:name="_Toc297048391"/>
      <w:bookmarkStart w:id="894" w:name="_Toc296891033"/>
      <w:bookmarkStart w:id="895" w:name="_Toc18683329"/>
      <w:bookmarkStart w:id="896" w:name="_Toc297216211"/>
      <w:bookmarkStart w:id="897" w:name="_Toc312678040"/>
      <w:bookmarkStart w:id="898" w:name="_Toc297123552"/>
      <w:bookmarkStart w:id="899" w:name="_Toc303539159"/>
      <w:bookmarkStart w:id="900" w:name="_Toc300935002"/>
      <w:bookmarkStart w:id="901" w:name="_Toc304295579"/>
      <w:r>
        <w:t xml:space="preserve">12. </w:t>
      </w:r>
      <w:bookmarkEnd w:id="885"/>
      <w:bookmarkEnd w:id="886"/>
      <w:bookmarkEnd w:id="887"/>
      <w:bookmarkEnd w:id="888"/>
      <w:bookmarkEnd w:id="889"/>
      <w:bookmarkEnd w:id="890"/>
      <w:bookmarkEnd w:id="891"/>
      <w:bookmarkEnd w:id="892"/>
      <w:bookmarkEnd w:id="893"/>
      <w:bookmarkEnd w:id="894"/>
      <w:r>
        <w:t>合同价格、计量与支付</w:t>
      </w:r>
      <w:bookmarkEnd w:id="895"/>
    </w:p>
    <w:bookmarkEnd w:id="896"/>
    <w:bookmarkEnd w:id="897"/>
    <w:bookmarkEnd w:id="898"/>
    <w:bookmarkEnd w:id="899"/>
    <w:bookmarkEnd w:id="900"/>
    <w:bookmarkEnd w:id="901"/>
    <w:p>
      <w:pPr>
        <w:pStyle w:val="7"/>
        <w:ind w:firstLine="420"/>
        <w:rPr>
          <w:szCs w:val="24"/>
        </w:rPr>
      </w:pPr>
      <w:bookmarkStart w:id="902" w:name="_Toc267251461"/>
      <w:bookmarkStart w:id="903" w:name="_Toc292559916"/>
      <w:bookmarkStart w:id="904" w:name="_Toc292559411"/>
      <w:bookmarkStart w:id="905" w:name="_Toc296891246"/>
      <w:bookmarkStart w:id="906" w:name="_Toc296346707"/>
      <w:bookmarkStart w:id="907" w:name="_Toc296944545"/>
      <w:bookmarkStart w:id="908" w:name="_Toc297120506"/>
      <w:bookmarkStart w:id="909" w:name="_Toc297048392"/>
      <w:bookmarkStart w:id="910" w:name="_Toc296347205"/>
      <w:bookmarkStart w:id="911" w:name="_Toc296891034"/>
      <w:bookmarkStart w:id="912" w:name="_Toc296503206"/>
      <w:bookmarkStart w:id="913" w:name="_Toc297123553"/>
      <w:bookmarkStart w:id="914" w:name="_Toc312678041"/>
      <w:bookmarkStart w:id="915" w:name="_Toc300935003"/>
      <w:bookmarkStart w:id="916" w:name="_Toc304295580"/>
      <w:bookmarkStart w:id="917" w:name="_Toc303539160"/>
      <w:bookmarkStart w:id="918" w:name="_Toc297216212"/>
      <w:bookmarkStart w:id="919" w:name="_Toc18683330"/>
      <w:r>
        <w:rPr>
          <w:bCs w:val="0"/>
        </w:rPr>
        <w:t>12.1 合</w:t>
      </w:r>
      <w:bookmarkEnd w:id="902"/>
      <w:bookmarkEnd w:id="903"/>
      <w:bookmarkEnd w:id="904"/>
      <w:r>
        <w:rPr>
          <w:bCs w:val="0"/>
        </w:rPr>
        <w:t>同价</w:t>
      </w:r>
      <w:bookmarkEnd w:id="905"/>
      <w:bookmarkEnd w:id="906"/>
      <w:bookmarkEnd w:id="907"/>
      <w:bookmarkEnd w:id="908"/>
      <w:bookmarkEnd w:id="909"/>
      <w:bookmarkEnd w:id="910"/>
      <w:bookmarkEnd w:id="911"/>
      <w:bookmarkEnd w:id="912"/>
      <w:r>
        <w:rPr>
          <w:bCs w:val="0"/>
        </w:rPr>
        <w:t>格形式</w:t>
      </w:r>
      <w:r>
        <w:rPr>
          <w:rFonts w:hint="eastAsia"/>
          <w:bCs w:val="0"/>
        </w:rPr>
        <w:t>：</w:t>
      </w:r>
      <w:bookmarkEnd w:id="913"/>
      <w:bookmarkEnd w:id="914"/>
      <w:bookmarkEnd w:id="915"/>
      <w:bookmarkEnd w:id="916"/>
      <w:bookmarkEnd w:id="917"/>
      <w:bookmarkEnd w:id="918"/>
      <w:r>
        <w:rPr>
          <w:szCs w:val="24"/>
          <w:u w:val="single"/>
        </w:rPr>
        <w:t>单价合同。</w:t>
      </w:r>
      <w:bookmarkEnd w:id="919"/>
    </w:p>
    <w:p>
      <w:pPr>
        <w:spacing w:line="360" w:lineRule="exact"/>
        <w:ind w:firstLine="480"/>
        <w:jc w:val="left"/>
        <w:rPr>
          <w:rFonts w:ascii="宋体" w:hAnsi="宋体"/>
          <w:sz w:val="24"/>
        </w:rPr>
      </w:pPr>
      <w:r>
        <w:rPr>
          <w:rFonts w:hint="eastAsia" w:ascii="宋体" w:hAnsi="宋体"/>
          <w:sz w:val="24"/>
        </w:rPr>
        <w:t>12.1.1</w:t>
      </w:r>
      <w:r>
        <w:rPr>
          <w:rFonts w:ascii="宋体" w:hAnsi="宋体"/>
          <w:sz w:val="24"/>
        </w:rPr>
        <w:t>综合单价包含的风险范围：</w:t>
      </w:r>
      <w:r>
        <w:rPr>
          <w:rFonts w:hint="eastAsia" w:ascii="宋体" w:hAnsi="宋体"/>
          <w:bCs/>
          <w:sz w:val="24"/>
          <w:u w:val="single"/>
        </w:rPr>
        <w:t>工程量增减、清单漏错项、工程变更、市场波动等</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12.1.2</w:t>
      </w:r>
      <w:r>
        <w:rPr>
          <w:rFonts w:ascii="宋体" w:hAnsi="宋体"/>
          <w:sz w:val="24"/>
        </w:rPr>
        <w:t>风险费用的计算方法：</w:t>
      </w:r>
    </w:p>
    <w:p>
      <w:pPr>
        <w:spacing w:line="360" w:lineRule="exact"/>
        <w:ind w:firstLine="480"/>
        <w:jc w:val="left"/>
        <w:rPr>
          <w:rFonts w:ascii="宋体" w:hAnsi="宋体"/>
          <w:sz w:val="24"/>
        </w:rPr>
      </w:pPr>
      <w:r>
        <w:rPr>
          <w:rFonts w:hint="eastAsia" w:ascii="宋体" w:hAnsi="宋体"/>
          <w:sz w:val="24"/>
        </w:rPr>
        <w:t>12.1.2.1工程量增减对综合单价的调整： </w:t>
      </w:r>
    </w:p>
    <w:p>
      <w:pPr>
        <w:spacing w:line="360" w:lineRule="exact"/>
        <w:ind w:firstLine="480"/>
        <w:jc w:val="left"/>
        <w:rPr>
          <w:rFonts w:ascii="宋体" w:hAnsi="宋体"/>
          <w:sz w:val="24"/>
        </w:rPr>
      </w:pPr>
      <w:r>
        <w:rPr>
          <w:rFonts w:hint="eastAsia" w:ascii="宋体" w:hAnsi="宋体"/>
          <w:sz w:val="24"/>
        </w:rPr>
        <w:t>当清单项目所对应的工程量增加幅度在10%以内时，其综合单价不做调整，执行原有综合单价；</w:t>
      </w:r>
    </w:p>
    <w:p>
      <w:pPr>
        <w:spacing w:line="360" w:lineRule="exact"/>
        <w:ind w:firstLine="480"/>
        <w:jc w:val="left"/>
        <w:rPr>
          <w:rFonts w:ascii="宋体" w:hAnsi="宋体"/>
          <w:sz w:val="24"/>
        </w:rPr>
      </w:pPr>
      <w:r>
        <w:rPr>
          <w:rFonts w:hint="eastAsia" w:ascii="宋体" w:hAnsi="宋体"/>
          <w:sz w:val="24"/>
        </w:rPr>
        <w:t>当清单项目所对应的工程量增加幅度超过10%，其综合单价应做调整。调整的方法是按照北京市发布的消耗量标准、市场价格、相关费用确定，人工、材料、机械等计算后的差价仅计取税金，不参与取费；</w:t>
      </w:r>
    </w:p>
    <w:p>
      <w:pPr>
        <w:spacing w:line="360" w:lineRule="exact"/>
        <w:ind w:firstLine="480"/>
        <w:jc w:val="left"/>
        <w:rPr>
          <w:rFonts w:ascii="宋体" w:hAnsi="宋体"/>
          <w:sz w:val="24"/>
        </w:rPr>
      </w:pPr>
      <w:r>
        <w:rPr>
          <w:rFonts w:hint="eastAsia" w:ascii="宋体" w:hAnsi="宋体"/>
          <w:sz w:val="24"/>
        </w:rPr>
        <w:t>当清单项目所对应的工程量调减或因设计变更被取消时，其综合单价应按照原综合单价确定。</w:t>
      </w:r>
    </w:p>
    <w:p>
      <w:pPr>
        <w:spacing w:line="360" w:lineRule="exact"/>
        <w:ind w:firstLine="480"/>
        <w:jc w:val="left"/>
        <w:rPr>
          <w:rFonts w:ascii="宋体" w:hAnsi="宋体"/>
          <w:sz w:val="24"/>
        </w:rPr>
      </w:pPr>
      <w:r>
        <w:rPr>
          <w:rFonts w:hint="eastAsia" w:ascii="宋体" w:hAnsi="宋体"/>
          <w:sz w:val="24"/>
        </w:rPr>
        <w:t>12.1.2.2清单漏错项或工程变更对综合单价的调整 </w:t>
      </w:r>
    </w:p>
    <w:p>
      <w:pPr>
        <w:spacing w:line="360" w:lineRule="exact"/>
        <w:ind w:firstLine="480"/>
        <w:jc w:val="left"/>
        <w:rPr>
          <w:rFonts w:ascii="宋体" w:hAnsi="宋体"/>
          <w:sz w:val="24"/>
        </w:rPr>
      </w:pPr>
      <w:r>
        <w:rPr>
          <w:rFonts w:hint="eastAsia" w:ascii="宋体" w:hAnsi="宋体"/>
          <w:sz w:val="24"/>
        </w:rPr>
        <w:t>合同履行过程中，出现工程量清单漏错项或非承包方原因设计变更，造成增加新的工程量清单项目时，可按下列方法确定其综合单价。</w:t>
      </w:r>
    </w:p>
    <w:p>
      <w:pPr>
        <w:spacing w:line="360" w:lineRule="exact"/>
        <w:ind w:firstLine="480"/>
        <w:jc w:val="left"/>
        <w:rPr>
          <w:rFonts w:ascii="宋体" w:hAnsi="宋体"/>
          <w:sz w:val="24"/>
        </w:rPr>
      </w:pPr>
      <w:r>
        <w:rPr>
          <w:rFonts w:hint="eastAsia" w:ascii="宋体" w:hAnsi="宋体"/>
          <w:sz w:val="24"/>
        </w:rPr>
        <w:t>合同已有适用的综合单价，按合同中已有的综合单价确定； </w:t>
      </w:r>
    </w:p>
    <w:p>
      <w:pPr>
        <w:spacing w:line="360" w:lineRule="exact"/>
        <w:ind w:firstLine="480"/>
        <w:jc w:val="left"/>
        <w:rPr>
          <w:rFonts w:ascii="宋体" w:hAnsi="宋体"/>
          <w:sz w:val="24"/>
        </w:rPr>
      </w:pPr>
      <w:r>
        <w:rPr>
          <w:rFonts w:hint="eastAsia" w:ascii="宋体" w:hAnsi="宋体"/>
          <w:sz w:val="24"/>
        </w:rPr>
        <w:t>合同有类似的综合单价，参照类似的综合单价确定； </w:t>
      </w:r>
    </w:p>
    <w:p>
      <w:pPr>
        <w:spacing w:line="360" w:lineRule="exact"/>
        <w:ind w:firstLine="480"/>
        <w:jc w:val="left"/>
        <w:rPr>
          <w:rFonts w:ascii="宋体" w:hAnsi="宋体"/>
          <w:sz w:val="24"/>
        </w:rPr>
      </w:pPr>
      <w:r>
        <w:rPr>
          <w:rFonts w:hint="eastAsia" w:ascii="宋体" w:hAnsi="宋体"/>
          <w:sz w:val="24"/>
        </w:rPr>
        <w:t>合同没有适用或类似的综合单价，由承包方提出综合单价，经发包方确认后执行。</w:t>
      </w:r>
    </w:p>
    <w:p>
      <w:pPr>
        <w:spacing w:line="360" w:lineRule="exact"/>
        <w:ind w:firstLine="480"/>
        <w:jc w:val="left"/>
        <w:rPr>
          <w:rFonts w:ascii="宋体" w:hAnsi="宋体"/>
          <w:sz w:val="24"/>
        </w:rPr>
      </w:pPr>
      <w:r>
        <w:rPr>
          <w:rFonts w:hint="eastAsia" w:ascii="宋体" w:hAnsi="宋体"/>
          <w:sz w:val="24"/>
        </w:rPr>
        <w:t>12.1.2.3市场波动对综合单价的调整 </w:t>
      </w:r>
    </w:p>
    <w:p>
      <w:pPr>
        <w:spacing w:line="360" w:lineRule="exact"/>
        <w:ind w:firstLine="480"/>
        <w:jc w:val="left"/>
        <w:rPr>
          <w:rFonts w:ascii="宋体" w:hAnsi="宋体"/>
          <w:sz w:val="24"/>
        </w:rPr>
      </w:pPr>
      <w:r>
        <w:rPr>
          <w:rFonts w:hint="eastAsia" w:ascii="宋体" w:hAnsi="宋体"/>
          <w:sz w:val="24"/>
        </w:rPr>
        <w:t>（1）人工工资、规费、税金</w:t>
      </w:r>
    </w:p>
    <w:p>
      <w:pPr>
        <w:spacing w:line="360" w:lineRule="exact"/>
        <w:ind w:firstLine="480"/>
        <w:jc w:val="left"/>
        <w:rPr>
          <w:rFonts w:ascii="宋体" w:hAnsi="宋体"/>
          <w:sz w:val="24"/>
        </w:rPr>
      </w:pPr>
      <w:r>
        <w:rPr>
          <w:rFonts w:hint="eastAsia" w:ascii="宋体" w:hAnsi="宋体"/>
          <w:sz w:val="24"/>
        </w:rPr>
        <w:t>对于法律、法规、规章或有关政策出台导致工程税金、规费、人工成本变化，并由北京市建设行政主管部门或其授权的工程造价管理机构根据上述变化发布的政策性调整，承包方不应承担此类风险，应按照有关调整规定执行。</w:t>
      </w:r>
    </w:p>
    <w:p>
      <w:pPr>
        <w:spacing w:line="360" w:lineRule="exact"/>
        <w:ind w:firstLine="480"/>
        <w:jc w:val="left"/>
        <w:rPr>
          <w:rFonts w:ascii="宋体" w:hAnsi="宋体"/>
          <w:sz w:val="24"/>
        </w:rPr>
      </w:pPr>
      <w:r>
        <w:rPr>
          <w:rFonts w:hint="eastAsia" w:ascii="宋体" w:hAnsi="宋体"/>
          <w:sz w:val="24"/>
        </w:rPr>
        <w:t>（2）材料价格</w:t>
      </w:r>
    </w:p>
    <w:p>
      <w:pPr>
        <w:spacing w:line="360" w:lineRule="exact"/>
        <w:ind w:firstLine="480"/>
        <w:jc w:val="left"/>
        <w:rPr>
          <w:rFonts w:ascii="宋体" w:hAnsi="宋体"/>
          <w:sz w:val="24"/>
        </w:rPr>
      </w:pPr>
      <w:r>
        <w:rPr>
          <w:rFonts w:hint="eastAsia" w:ascii="宋体" w:hAnsi="宋体"/>
          <w:sz w:val="24"/>
        </w:rPr>
        <w:t>对于主要由市场波动导致的建筑材料价格风险可约定在增加15%内、减少5%幅度内，不调整综合单价；增加超过15%、减少超过5%，则应当调整。调整的方法是：承包方在采购材料前将采购数量和新的材料单价报发包方核对，由发包方确认采购材料的数量和单价。</w:t>
      </w:r>
    </w:p>
    <w:p>
      <w:pPr>
        <w:spacing w:line="360" w:lineRule="exact"/>
        <w:ind w:firstLine="480"/>
        <w:jc w:val="left"/>
        <w:rPr>
          <w:rFonts w:ascii="宋体" w:hAnsi="宋体"/>
          <w:sz w:val="24"/>
        </w:rPr>
      </w:pPr>
      <w:r>
        <w:rPr>
          <w:rFonts w:hint="eastAsia" w:ascii="宋体" w:hAnsi="宋体"/>
          <w:sz w:val="24"/>
        </w:rPr>
        <w:t>（3）施工机械使用费</w:t>
      </w:r>
    </w:p>
    <w:p>
      <w:pPr>
        <w:spacing w:line="360" w:lineRule="exact"/>
        <w:ind w:firstLine="480"/>
        <w:jc w:val="left"/>
        <w:rPr>
          <w:rFonts w:ascii="宋体" w:hAnsi="宋体"/>
          <w:sz w:val="24"/>
        </w:rPr>
      </w:pPr>
      <w:r>
        <w:rPr>
          <w:rFonts w:hint="eastAsia" w:ascii="宋体" w:hAnsi="宋体"/>
          <w:sz w:val="24"/>
        </w:rPr>
        <w:t>施工机械使用费由于汽柴油价格变动等原因造成上涨幅度在10%以内时，可不调整综合单价；超过时则予以调整。</w:t>
      </w:r>
    </w:p>
    <w:p>
      <w:pPr>
        <w:spacing w:line="360" w:lineRule="exact"/>
        <w:ind w:firstLine="480"/>
        <w:jc w:val="left"/>
        <w:rPr>
          <w:rFonts w:ascii="宋体" w:hAnsi="宋体"/>
          <w:sz w:val="24"/>
        </w:rPr>
      </w:pPr>
      <w:r>
        <w:rPr>
          <w:rFonts w:hint="eastAsia" w:ascii="宋体" w:hAnsi="宋体"/>
          <w:sz w:val="24"/>
        </w:rPr>
        <w:t>12.1.3</w:t>
      </w:r>
      <w:r>
        <w:rPr>
          <w:rFonts w:ascii="宋体" w:hAnsi="宋体"/>
          <w:sz w:val="24"/>
        </w:rPr>
        <w:t>风险范围以外合同价格的调整方法：</w:t>
      </w:r>
      <w:r>
        <w:rPr>
          <w:rFonts w:hint="eastAsia" w:ascii="宋体" w:hAnsi="宋体"/>
          <w:sz w:val="24"/>
          <w:u w:val="single"/>
        </w:rPr>
        <w:t>无</w:t>
      </w:r>
      <w:r>
        <w:rPr>
          <w:rFonts w:ascii="宋体" w:hAnsi="宋体"/>
          <w:sz w:val="24"/>
        </w:rPr>
        <w:t>。</w:t>
      </w:r>
    </w:p>
    <w:p>
      <w:pPr>
        <w:pStyle w:val="7"/>
        <w:ind w:firstLine="420"/>
        <w:rPr>
          <w:bCs w:val="0"/>
        </w:rPr>
      </w:pPr>
      <w:bookmarkStart w:id="920" w:name="_Toc18683331"/>
      <w:bookmarkStart w:id="921" w:name="_Toc312678042"/>
      <w:bookmarkStart w:id="922" w:name="_Toc297123554"/>
      <w:bookmarkStart w:id="923" w:name="_Toc300935004"/>
      <w:bookmarkStart w:id="924" w:name="_Toc297216213"/>
      <w:bookmarkStart w:id="925" w:name="_Toc303539161"/>
      <w:bookmarkStart w:id="926" w:name="_Toc304295581"/>
      <w:bookmarkStart w:id="927" w:name="_Toc296346708"/>
      <w:bookmarkStart w:id="928" w:name="_Toc297048393"/>
      <w:bookmarkStart w:id="929" w:name="_Toc292559412"/>
      <w:bookmarkStart w:id="930" w:name="_Toc296891035"/>
      <w:bookmarkStart w:id="931" w:name="_Toc296891247"/>
      <w:bookmarkStart w:id="932" w:name="_Toc296347206"/>
      <w:bookmarkStart w:id="933" w:name="_Toc297120507"/>
      <w:bookmarkStart w:id="934" w:name="_Toc292559917"/>
      <w:bookmarkStart w:id="935" w:name="_Toc296503207"/>
      <w:bookmarkStart w:id="936" w:name="_Toc296944546"/>
      <w:r>
        <w:rPr>
          <w:bCs w:val="0"/>
        </w:rPr>
        <w:t>12.2 预付款</w:t>
      </w:r>
      <w:bookmarkEnd w:id="920"/>
    </w:p>
    <w:bookmarkEnd w:id="921"/>
    <w:bookmarkEnd w:id="922"/>
    <w:bookmarkEnd w:id="923"/>
    <w:bookmarkEnd w:id="924"/>
    <w:bookmarkEnd w:id="925"/>
    <w:bookmarkEnd w:id="926"/>
    <w:p>
      <w:pPr>
        <w:spacing w:line="360" w:lineRule="exact"/>
        <w:ind w:firstLine="480"/>
        <w:jc w:val="left"/>
        <w:rPr>
          <w:rFonts w:ascii="宋体" w:hAnsi="宋体"/>
          <w:sz w:val="24"/>
        </w:rPr>
      </w:pPr>
      <w:r>
        <w:rPr>
          <w:rFonts w:ascii="宋体" w:hAnsi="宋体"/>
          <w:sz w:val="24"/>
        </w:rPr>
        <w:t>12.2.1 预付款的支付</w:t>
      </w:r>
    </w:p>
    <w:p>
      <w:pPr>
        <w:spacing w:line="360" w:lineRule="exact"/>
        <w:ind w:firstLine="480"/>
        <w:jc w:val="left"/>
        <w:rPr>
          <w:rFonts w:ascii="宋体" w:hAnsi="宋体"/>
          <w:sz w:val="24"/>
        </w:rPr>
      </w:pPr>
      <w:r>
        <w:rPr>
          <w:rFonts w:ascii="宋体" w:hAnsi="宋体"/>
          <w:sz w:val="24"/>
        </w:rPr>
        <w:t>预付款支付比例或金额：</w:t>
      </w:r>
      <w:r>
        <w:rPr>
          <w:rFonts w:ascii="宋体" w:hAnsi="宋体"/>
          <w:sz w:val="24"/>
          <w:u w:val="single"/>
        </w:rPr>
        <w:t xml:space="preserve">  签约</w:t>
      </w:r>
      <w:r>
        <w:rPr>
          <w:rFonts w:hint="eastAsia" w:ascii="宋体" w:hAnsi="宋体"/>
          <w:sz w:val="24"/>
          <w:u w:val="single"/>
        </w:rPr>
        <w:t>合同价</w:t>
      </w:r>
      <w:r>
        <w:rPr>
          <w:rFonts w:ascii="宋体" w:hAnsi="宋体"/>
          <w:sz w:val="24"/>
          <w:u w:val="single"/>
        </w:rPr>
        <w:t>10</w:t>
      </w:r>
      <w:r>
        <w:rPr>
          <w:rFonts w:hint="eastAsia" w:ascii="宋体" w:hAnsi="宋体"/>
          <w:sz w:val="24"/>
          <w:u w:val="single"/>
        </w:rPr>
        <w:t>%（扣除暂列金额、专业工程暂估价及安全文明施工费），并安全文明施工费的预付比例为100%</w:t>
      </w:r>
      <w:r>
        <w:rPr>
          <w:rFonts w:ascii="宋体" w:hAnsi="宋体"/>
          <w:sz w:val="24"/>
        </w:rPr>
        <w:t>。</w:t>
      </w:r>
    </w:p>
    <w:p>
      <w:pPr>
        <w:spacing w:line="360" w:lineRule="exact"/>
        <w:ind w:firstLine="480"/>
        <w:jc w:val="left"/>
        <w:rPr>
          <w:rFonts w:ascii="宋体" w:hAnsi="宋体"/>
          <w:sz w:val="24"/>
        </w:rPr>
      </w:pPr>
      <w:r>
        <w:rPr>
          <w:rFonts w:ascii="宋体" w:hAnsi="宋体"/>
          <w:sz w:val="24"/>
        </w:rPr>
        <w:t>预付款支付期限：</w:t>
      </w:r>
      <w:r>
        <w:rPr>
          <w:rFonts w:hint="eastAsia" w:ascii="宋体" w:hAnsi="宋体"/>
          <w:sz w:val="24"/>
          <w:u w:val="single"/>
        </w:rPr>
        <w:t>合同签定后14日内</w:t>
      </w:r>
      <w:r>
        <w:rPr>
          <w:rFonts w:ascii="宋体" w:hAnsi="宋体"/>
          <w:sz w:val="24"/>
        </w:rPr>
        <w:t>。</w:t>
      </w:r>
    </w:p>
    <w:p>
      <w:pPr>
        <w:spacing w:line="360" w:lineRule="exact"/>
        <w:ind w:firstLine="480"/>
        <w:jc w:val="left"/>
        <w:rPr>
          <w:rFonts w:ascii="宋体" w:hAnsi="宋体"/>
          <w:sz w:val="24"/>
        </w:rPr>
      </w:pPr>
      <w:r>
        <w:rPr>
          <w:rFonts w:ascii="宋体" w:hAnsi="宋体"/>
          <w:sz w:val="24"/>
        </w:rPr>
        <w:t>预付款扣回的方式：</w:t>
      </w:r>
      <w:r>
        <w:rPr>
          <w:rFonts w:hint="eastAsia" w:ascii="宋体" w:hAnsi="宋体"/>
          <w:sz w:val="24"/>
          <w:u w:val="single"/>
        </w:rPr>
        <w:t>不扣回</w:t>
      </w:r>
      <w:r>
        <w:rPr>
          <w:rFonts w:ascii="宋体" w:hAnsi="宋体"/>
          <w:sz w:val="24"/>
        </w:rPr>
        <w:t>。</w:t>
      </w:r>
    </w:p>
    <w:bookmarkEnd w:id="927"/>
    <w:bookmarkEnd w:id="928"/>
    <w:bookmarkEnd w:id="929"/>
    <w:bookmarkEnd w:id="930"/>
    <w:bookmarkEnd w:id="931"/>
    <w:bookmarkEnd w:id="932"/>
    <w:bookmarkEnd w:id="933"/>
    <w:bookmarkEnd w:id="934"/>
    <w:bookmarkEnd w:id="935"/>
    <w:bookmarkEnd w:id="936"/>
    <w:p>
      <w:pPr>
        <w:pStyle w:val="7"/>
        <w:ind w:firstLine="420"/>
        <w:rPr>
          <w:bCs w:val="0"/>
        </w:rPr>
      </w:pPr>
      <w:bookmarkStart w:id="937" w:name="_Toc18683332"/>
      <w:r>
        <w:rPr>
          <w:bCs w:val="0"/>
        </w:rPr>
        <w:t>12.3 计量</w:t>
      </w:r>
      <w:bookmarkEnd w:id="937"/>
    </w:p>
    <w:p>
      <w:pPr>
        <w:spacing w:line="360" w:lineRule="exact"/>
        <w:ind w:firstLine="480"/>
        <w:jc w:val="left"/>
        <w:rPr>
          <w:rFonts w:ascii="宋体" w:hAnsi="宋体"/>
          <w:sz w:val="24"/>
        </w:rPr>
      </w:pPr>
      <w:r>
        <w:rPr>
          <w:rFonts w:ascii="宋体" w:hAnsi="宋体"/>
          <w:sz w:val="24"/>
        </w:rPr>
        <w:t>12.3.1 计量原则</w:t>
      </w:r>
    </w:p>
    <w:p>
      <w:pPr>
        <w:spacing w:line="360" w:lineRule="exact"/>
        <w:ind w:firstLine="480"/>
        <w:jc w:val="left"/>
        <w:rPr>
          <w:rFonts w:ascii="宋体" w:hAnsi="宋体"/>
          <w:sz w:val="24"/>
        </w:rPr>
      </w:pPr>
      <w:r>
        <w:rPr>
          <w:rFonts w:ascii="宋体" w:hAnsi="宋体"/>
          <w:sz w:val="24"/>
        </w:rPr>
        <w:t>工程量计算规则：</w:t>
      </w:r>
      <w:r>
        <w:rPr>
          <w:rFonts w:hint="eastAsia" w:ascii="宋体" w:hAnsi="宋体"/>
          <w:sz w:val="24"/>
          <w:u w:val="single"/>
        </w:rPr>
        <w:t>现行国家及北京市计量规范规定的工程量计算规则计算</w:t>
      </w:r>
      <w:r>
        <w:rPr>
          <w:rFonts w:hint="eastAsia" w:ascii="宋体" w:hAnsi="宋体"/>
          <w:sz w:val="24"/>
        </w:rPr>
        <w:t>。</w:t>
      </w:r>
    </w:p>
    <w:p>
      <w:pPr>
        <w:spacing w:line="360" w:lineRule="exact"/>
        <w:ind w:firstLine="480"/>
        <w:jc w:val="left"/>
        <w:rPr>
          <w:rFonts w:ascii="宋体" w:hAnsi="宋体"/>
          <w:sz w:val="24"/>
        </w:rPr>
      </w:pPr>
      <w:r>
        <w:rPr>
          <w:rFonts w:ascii="宋体" w:hAnsi="宋体"/>
          <w:sz w:val="24"/>
        </w:rPr>
        <w:t>12.3.2 计量周期</w:t>
      </w:r>
    </w:p>
    <w:p>
      <w:pPr>
        <w:spacing w:line="360" w:lineRule="exact"/>
        <w:ind w:firstLine="480"/>
        <w:jc w:val="left"/>
        <w:rPr>
          <w:rFonts w:ascii="宋体" w:hAnsi="宋体"/>
          <w:sz w:val="24"/>
        </w:rPr>
      </w:pPr>
      <w:r>
        <w:rPr>
          <w:rFonts w:ascii="宋体" w:hAnsi="宋体"/>
          <w:sz w:val="24"/>
        </w:rPr>
        <w:t>关于计量周期的约定：</w:t>
      </w:r>
      <w:r>
        <w:rPr>
          <w:rFonts w:hint="eastAsia" w:ascii="宋体" w:hAnsi="宋体"/>
          <w:sz w:val="24"/>
          <w:u w:val="single"/>
        </w:rPr>
        <w:t>每月25日，由发包人审核签复并确认</w:t>
      </w:r>
      <w:r>
        <w:rPr>
          <w:rFonts w:ascii="宋体" w:hAnsi="宋体"/>
          <w:sz w:val="24"/>
        </w:rPr>
        <w:t>。</w:t>
      </w:r>
    </w:p>
    <w:p>
      <w:pPr>
        <w:spacing w:line="360" w:lineRule="exact"/>
        <w:ind w:firstLine="480"/>
        <w:jc w:val="left"/>
        <w:rPr>
          <w:rFonts w:ascii="宋体" w:hAnsi="宋体"/>
          <w:sz w:val="24"/>
        </w:rPr>
      </w:pPr>
      <w:r>
        <w:rPr>
          <w:rFonts w:ascii="宋体" w:hAnsi="宋体"/>
          <w:sz w:val="24"/>
        </w:rPr>
        <w:t>12.3.3 单价合同的计量</w:t>
      </w:r>
    </w:p>
    <w:p>
      <w:pPr>
        <w:spacing w:line="360" w:lineRule="exact"/>
        <w:ind w:firstLine="480"/>
        <w:jc w:val="left"/>
        <w:rPr>
          <w:rFonts w:ascii="宋体" w:hAnsi="宋体"/>
          <w:sz w:val="24"/>
        </w:rPr>
      </w:pPr>
      <w:r>
        <w:rPr>
          <w:rFonts w:ascii="宋体" w:hAnsi="宋体"/>
          <w:sz w:val="24"/>
        </w:rPr>
        <w:t>关于单价合同计量的约定：</w:t>
      </w:r>
      <w:r>
        <w:rPr>
          <w:rFonts w:hint="eastAsia" w:ascii="宋体" w:hAnsi="宋体"/>
          <w:sz w:val="24"/>
          <w:u w:val="single"/>
        </w:rPr>
        <w:t>见通用合同条款</w:t>
      </w:r>
      <w:r>
        <w:rPr>
          <w:rFonts w:ascii="宋体" w:hAnsi="宋体"/>
          <w:sz w:val="24"/>
        </w:rPr>
        <w:t>。</w:t>
      </w:r>
    </w:p>
    <w:p>
      <w:pPr>
        <w:pStyle w:val="7"/>
        <w:ind w:firstLine="420"/>
        <w:rPr>
          <w:bCs w:val="0"/>
        </w:rPr>
      </w:pPr>
      <w:bookmarkStart w:id="938" w:name="_Toc18683333"/>
      <w:r>
        <w:rPr>
          <w:bCs w:val="0"/>
        </w:rPr>
        <w:t>12.4 工程进度款支付</w:t>
      </w:r>
      <w:bookmarkEnd w:id="938"/>
    </w:p>
    <w:p>
      <w:pPr>
        <w:spacing w:line="360" w:lineRule="exact"/>
        <w:ind w:firstLine="480"/>
        <w:jc w:val="left"/>
        <w:rPr>
          <w:rFonts w:ascii="宋体" w:hAnsi="宋体"/>
          <w:sz w:val="24"/>
        </w:rPr>
      </w:pPr>
      <w:bookmarkStart w:id="939" w:name="_Toc296891039"/>
      <w:bookmarkStart w:id="940" w:name="_Toc296944550"/>
      <w:bookmarkStart w:id="941" w:name="_Toc292559416"/>
      <w:bookmarkStart w:id="942" w:name="_Toc292559921"/>
      <w:bookmarkStart w:id="943" w:name="_Toc297120511"/>
      <w:bookmarkStart w:id="944" w:name="_Toc296347210"/>
      <w:bookmarkStart w:id="945" w:name="_Toc297048397"/>
      <w:bookmarkStart w:id="946" w:name="_Toc303539163"/>
      <w:bookmarkStart w:id="947" w:name="_Toc297123556"/>
      <w:bookmarkStart w:id="948" w:name="_Toc296891251"/>
      <w:bookmarkStart w:id="949" w:name="_Toc296503211"/>
      <w:bookmarkStart w:id="950" w:name="_Toc300935006"/>
      <w:bookmarkStart w:id="951" w:name="_Toc296346712"/>
      <w:bookmarkStart w:id="952" w:name="_Toc297216215"/>
      <w:r>
        <w:rPr>
          <w:rFonts w:ascii="宋体" w:hAnsi="宋体"/>
          <w:sz w:val="24"/>
        </w:rPr>
        <w:t>12.4.1 付款周期</w:t>
      </w:r>
    </w:p>
    <w:p>
      <w:pPr>
        <w:spacing w:line="360" w:lineRule="exact"/>
        <w:ind w:firstLine="480"/>
        <w:jc w:val="left"/>
        <w:rPr>
          <w:rFonts w:ascii="宋体" w:hAnsi="宋体"/>
          <w:sz w:val="24"/>
        </w:rPr>
      </w:pPr>
      <w:r>
        <w:rPr>
          <w:rFonts w:ascii="宋体" w:hAnsi="宋体"/>
          <w:sz w:val="24"/>
        </w:rPr>
        <w:t>关于付款周期的约定：</w:t>
      </w:r>
      <w:r>
        <w:rPr>
          <w:rFonts w:hint="eastAsia" w:ascii="宋体" w:hAnsi="宋体"/>
          <w:sz w:val="24"/>
          <w:u w:val="single"/>
        </w:rPr>
        <w:t>如施工周期超过三个月则按照工程实际进度及完成工程量支付工程进度款；否则只支付预付款</w:t>
      </w:r>
      <w:r>
        <w:rPr>
          <w:rFonts w:ascii="宋体" w:hAnsi="宋体"/>
          <w:sz w:val="24"/>
        </w:rPr>
        <w:t>。</w:t>
      </w:r>
    </w:p>
    <w:p>
      <w:pPr>
        <w:spacing w:line="360" w:lineRule="exact"/>
        <w:ind w:firstLine="480"/>
        <w:jc w:val="left"/>
        <w:rPr>
          <w:rFonts w:ascii="宋体" w:hAnsi="宋体"/>
          <w:sz w:val="24"/>
        </w:rPr>
      </w:pPr>
      <w:r>
        <w:rPr>
          <w:rFonts w:ascii="宋体" w:hAnsi="宋体"/>
          <w:sz w:val="24"/>
        </w:rPr>
        <w:t>12.4.2 进度付款申请单的编制</w:t>
      </w:r>
    </w:p>
    <w:p>
      <w:pPr>
        <w:spacing w:line="360" w:lineRule="exact"/>
        <w:ind w:firstLine="480"/>
        <w:jc w:val="left"/>
        <w:rPr>
          <w:rFonts w:ascii="宋体" w:hAnsi="宋体"/>
          <w:sz w:val="24"/>
        </w:rPr>
      </w:pPr>
      <w:r>
        <w:rPr>
          <w:rFonts w:ascii="宋体" w:hAnsi="宋体"/>
          <w:sz w:val="24"/>
        </w:rPr>
        <w:t>关于进度付款申请单编制的约定：</w:t>
      </w:r>
      <w:r>
        <w:rPr>
          <w:rFonts w:hint="eastAsia" w:ascii="宋体" w:hAnsi="宋体"/>
          <w:sz w:val="24"/>
          <w:u w:val="single"/>
        </w:rPr>
        <w:t>见通用合同条款</w:t>
      </w:r>
      <w:r>
        <w:rPr>
          <w:rFonts w:ascii="宋体" w:hAnsi="宋体"/>
          <w:sz w:val="24"/>
        </w:rPr>
        <w:t>。</w:t>
      </w:r>
    </w:p>
    <w:p>
      <w:pPr>
        <w:spacing w:line="360" w:lineRule="exact"/>
        <w:ind w:firstLine="480"/>
        <w:jc w:val="left"/>
        <w:rPr>
          <w:rFonts w:ascii="宋体" w:hAnsi="宋体"/>
          <w:sz w:val="24"/>
        </w:rPr>
      </w:pPr>
      <w:r>
        <w:rPr>
          <w:rFonts w:ascii="宋体" w:hAnsi="宋体"/>
          <w:sz w:val="24"/>
        </w:rPr>
        <w:t>1</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Pr>
          <w:rFonts w:ascii="宋体" w:hAnsi="宋体"/>
          <w:sz w:val="24"/>
        </w:rPr>
        <w:t>2.4.3 进度付款申请单的提交</w:t>
      </w:r>
    </w:p>
    <w:p>
      <w:pPr>
        <w:spacing w:line="360" w:lineRule="exact"/>
        <w:ind w:firstLine="480"/>
        <w:jc w:val="left"/>
        <w:rPr>
          <w:rFonts w:ascii="宋体" w:hAnsi="宋体"/>
          <w:sz w:val="24"/>
        </w:rPr>
      </w:pPr>
      <w:r>
        <w:rPr>
          <w:rFonts w:ascii="宋体" w:hAnsi="宋体"/>
          <w:sz w:val="24"/>
        </w:rPr>
        <w:t>单价合同进度付款申请单提交的约定</w:t>
      </w:r>
      <w:r>
        <w:rPr>
          <w:rFonts w:hint="eastAsia" w:ascii="宋体" w:hAnsi="宋体"/>
          <w:sz w:val="24"/>
        </w:rPr>
        <w:t>：</w:t>
      </w:r>
      <w:r>
        <w:rPr>
          <w:rFonts w:hint="eastAsia" w:ascii="宋体" w:hAnsi="宋体"/>
          <w:sz w:val="24"/>
          <w:u w:val="single"/>
        </w:rPr>
        <w:t>每月25日</w:t>
      </w:r>
      <w:r>
        <w:rPr>
          <w:rFonts w:ascii="宋体" w:hAnsi="宋体"/>
          <w:sz w:val="24"/>
        </w:rPr>
        <w:t>。</w:t>
      </w:r>
    </w:p>
    <w:p>
      <w:pPr>
        <w:spacing w:line="360" w:lineRule="exact"/>
        <w:ind w:firstLine="480"/>
        <w:jc w:val="left"/>
        <w:rPr>
          <w:rFonts w:ascii="宋体" w:hAnsi="宋体"/>
          <w:sz w:val="24"/>
        </w:rPr>
      </w:pPr>
      <w:r>
        <w:rPr>
          <w:rFonts w:ascii="宋体" w:hAnsi="宋体"/>
          <w:sz w:val="24"/>
        </w:rPr>
        <w:t>12.4.4 进度款审核和支付</w:t>
      </w:r>
    </w:p>
    <w:p>
      <w:pPr>
        <w:spacing w:line="360" w:lineRule="exact"/>
        <w:ind w:firstLine="480"/>
        <w:jc w:val="left"/>
        <w:rPr>
          <w:rFonts w:ascii="宋体" w:hAnsi="宋体"/>
          <w:sz w:val="24"/>
          <w:u w:val="single"/>
        </w:rPr>
      </w:pPr>
      <w:r>
        <w:rPr>
          <w:rFonts w:ascii="宋体" w:hAnsi="宋体"/>
          <w:sz w:val="24"/>
        </w:rPr>
        <w:t>（1）监理人审查并报送发包人的期限：</w:t>
      </w:r>
      <w:r>
        <w:rPr>
          <w:rFonts w:hint="eastAsia" w:ascii="宋体" w:hAnsi="宋体"/>
          <w:sz w:val="24"/>
          <w:u w:val="single"/>
        </w:rPr>
        <w:t xml:space="preserve">3日内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发包人完成审批并签发进度款支付证书的期限：</w:t>
      </w:r>
      <w:r>
        <w:rPr>
          <w:rFonts w:hint="eastAsia" w:ascii="宋体" w:hAnsi="宋体"/>
          <w:sz w:val="24"/>
          <w:u w:val="single"/>
        </w:rPr>
        <w:t>14日内</w:t>
      </w:r>
    </w:p>
    <w:p>
      <w:pPr>
        <w:spacing w:line="360" w:lineRule="exact"/>
        <w:ind w:firstLine="480"/>
        <w:jc w:val="left"/>
        <w:rPr>
          <w:rFonts w:ascii="宋体" w:hAnsi="宋体"/>
          <w:sz w:val="24"/>
        </w:rPr>
      </w:pPr>
      <w:r>
        <w:rPr>
          <w:rFonts w:ascii="宋体" w:hAnsi="宋体"/>
          <w:sz w:val="24"/>
        </w:rPr>
        <w:t>（2）发包人支付进度款的期限：</w:t>
      </w:r>
      <w:r>
        <w:rPr>
          <w:rFonts w:hint="eastAsia" w:ascii="宋体" w:hAnsi="宋体"/>
          <w:sz w:val="24"/>
          <w:u w:val="single"/>
        </w:rPr>
        <w:t>签发支付证书后14日内</w:t>
      </w:r>
      <w:r>
        <w:rPr>
          <w:rFonts w:ascii="宋体" w:hAnsi="宋体"/>
          <w:sz w:val="24"/>
        </w:rPr>
        <w:t>。</w:t>
      </w:r>
    </w:p>
    <w:p>
      <w:pPr>
        <w:spacing w:line="360" w:lineRule="exact"/>
        <w:ind w:firstLine="600" w:firstLineChars="250"/>
        <w:jc w:val="left"/>
        <w:rPr>
          <w:rFonts w:ascii="宋体" w:hAnsi="宋体"/>
          <w:sz w:val="24"/>
        </w:rPr>
      </w:pPr>
      <w:r>
        <w:rPr>
          <w:rFonts w:ascii="宋体" w:hAnsi="宋体"/>
          <w:sz w:val="24"/>
        </w:rPr>
        <w:t>发包人逾期支付进度款的违约金的计算方式：</w:t>
      </w:r>
      <w:r>
        <w:rPr>
          <w:rFonts w:hint="eastAsia" w:ascii="宋体" w:hAnsi="宋体"/>
          <w:sz w:val="24"/>
          <w:u w:val="single"/>
        </w:rPr>
        <w:t>无</w:t>
      </w:r>
      <w:r>
        <w:rPr>
          <w:rFonts w:ascii="宋体" w:hAnsi="宋体"/>
          <w:sz w:val="24"/>
        </w:rPr>
        <w:t>。</w:t>
      </w:r>
    </w:p>
    <w:p>
      <w:pPr>
        <w:spacing w:line="360" w:lineRule="exact"/>
        <w:ind w:firstLine="600" w:firstLineChars="250"/>
        <w:jc w:val="left"/>
        <w:rPr>
          <w:rFonts w:ascii="宋体" w:hAnsi="宋体"/>
          <w:sz w:val="24"/>
        </w:rPr>
      </w:pPr>
      <w:r>
        <w:rPr>
          <w:rFonts w:hint="eastAsia" w:ascii="宋体" w:hAnsi="宋体"/>
          <w:sz w:val="24"/>
        </w:rPr>
        <w:t>12.4.</w:t>
      </w:r>
      <w:r>
        <w:rPr>
          <w:rFonts w:ascii="宋体" w:hAnsi="宋体"/>
          <w:sz w:val="24"/>
        </w:rPr>
        <w:t>5</w:t>
      </w:r>
      <w:r>
        <w:rPr>
          <w:rFonts w:hint="eastAsia" w:ascii="宋体" w:hAnsi="宋体"/>
          <w:sz w:val="24"/>
        </w:rPr>
        <w:t xml:space="preserve"> 付款方式</w:t>
      </w:r>
    </w:p>
    <w:p>
      <w:pPr>
        <w:spacing w:line="360" w:lineRule="exact"/>
        <w:ind w:firstLine="600" w:firstLineChars="250"/>
        <w:jc w:val="left"/>
        <w:rPr>
          <w:rFonts w:ascii="宋体" w:hAnsi="宋体"/>
          <w:sz w:val="24"/>
          <w:highlight w:val="yellow"/>
        </w:rPr>
      </w:pPr>
      <w:r>
        <w:rPr>
          <w:rFonts w:hint="eastAsia" w:ascii="宋体" w:hAnsi="宋体"/>
          <w:sz w:val="24"/>
        </w:rPr>
        <w:t>本合同款项以银行转账方式支付。工程竣工验收合格后支付至合同额</w:t>
      </w:r>
      <w:r>
        <w:rPr>
          <w:rFonts w:ascii="宋体" w:hAnsi="宋体"/>
          <w:sz w:val="24"/>
        </w:rPr>
        <w:t>85%，待工程竣工验收合格且交付使用、建设单位审计完成后支付至结算总价的9</w:t>
      </w:r>
      <w:r>
        <w:rPr>
          <w:rFonts w:hint="eastAsia" w:ascii="宋体" w:hAnsi="宋体"/>
          <w:sz w:val="24"/>
        </w:rPr>
        <w:t>5</w:t>
      </w:r>
      <w:r>
        <w:rPr>
          <w:rFonts w:ascii="宋体" w:hAnsi="宋体"/>
          <w:sz w:val="24"/>
        </w:rPr>
        <w:t>%</w:t>
      </w:r>
      <w:r>
        <w:rPr>
          <w:rFonts w:hint="eastAsia" w:ascii="宋体" w:hAnsi="宋体"/>
          <w:sz w:val="24"/>
        </w:rPr>
        <w:t>；</w:t>
      </w:r>
    </w:p>
    <w:bookmarkEnd w:id="772"/>
    <w:p>
      <w:pPr>
        <w:pStyle w:val="6"/>
        <w:ind w:left="103" w:leftChars="0" w:firstLineChars="0"/>
      </w:pPr>
      <w:bookmarkStart w:id="953" w:name="_Toc18683334"/>
      <w:bookmarkStart w:id="954" w:name="_Toc292559929"/>
      <w:bookmarkStart w:id="955" w:name="_Toc296503219"/>
      <w:bookmarkStart w:id="956" w:name="_Toc297216223"/>
      <w:bookmarkStart w:id="957" w:name="_Toc296944558"/>
      <w:bookmarkStart w:id="958" w:name="_Toc292559424"/>
      <w:bookmarkStart w:id="959" w:name="_Toc297123564"/>
      <w:bookmarkStart w:id="960" w:name="_Toc303539172"/>
      <w:bookmarkStart w:id="961" w:name="_Toc296347218"/>
      <w:bookmarkStart w:id="962" w:name="_Toc312678053"/>
      <w:bookmarkStart w:id="963" w:name="_Toc296891047"/>
      <w:bookmarkStart w:id="964" w:name="_Toc296891259"/>
      <w:bookmarkStart w:id="965" w:name="_Toc297120519"/>
      <w:bookmarkStart w:id="966" w:name="_Toc304295593"/>
      <w:bookmarkStart w:id="967" w:name="_Toc300935015"/>
      <w:bookmarkStart w:id="968" w:name="_Toc296346720"/>
      <w:bookmarkStart w:id="969" w:name="_Toc297048405"/>
      <w:r>
        <w:t>13.验收和工程试车</w:t>
      </w:r>
      <w:bookmarkEnd w:id="953"/>
    </w:p>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Pr>
        <w:pStyle w:val="7"/>
        <w:ind w:firstLine="420"/>
        <w:rPr>
          <w:bCs w:val="0"/>
        </w:rPr>
      </w:pPr>
      <w:bookmarkStart w:id="970" w:name="_Toc18683335"/>
      <w:r>
        <w:rPr>
          <w:bCs w:val="0"/>
        </w:rPr>
        <w:t>13.1 分部分项工程验收</w:t>
      </w:r>
      <w:bookmarkEnd w:id="970"/>
    </w:p>
    <w:p>
      <w:pPr>
        <w:spacing w:line="360" w:lineRule="exact"/>
        <w:ind w:firstLine="480"/>
        <w:jc w:val="left"/>
        <w:rPr>
          <w:rFonts w:ascii="宋体" w:hAnsi="宋体"/>
          <w:sz w:val="24"/>
        </w:rPr>
      </w:pPr>
      <w:r>
        <w:rPr>
          <w:rFonts w:ascii="宋体" w:hAnsi="宋体"/>
          <w:sz w:val="24"/>
        </w:rPr>
        <w:t>13.1.</w:t>
      </w:r>
      <w:r>
        <w:rPr>
          <w:rFonts w:hint="eastAsia" w:ascii="宋体" w:hAnsi="宋体"/>
          <w:sz w:val="24"/>
        </w:rPr>
        <w:t>1</w:t>
      </w:r>
      <w:r>
        <w:rPr>
          <w:rFonts w:ascii="宋体" w:hAnsi="宋体"/>
          <w:sz w:val="24"/>
        </w:rPr>
        <w:t>监理人不能按时进行验收时，应提前</w:t>
      </w:r>
      <w:r>
        <w:rPr>
          <w:rFonts w:hint="eastAsia" w:ascii="宋体" w:hAnsi="宋体"/>
          <w:sz w:val="24"/>
          <w:u w:val="single"/>
        </w:rPr>
        <w:t>24</w:t>
      </w:r>
      <w:r>
        <w:rPr>
          <w:rFonts w:ascii="宋体" w:hAnsi="宋体"/>
          <w:sz w:val="24"/>
        </w:rPr>
        <w:t>小时提交书面延期要求。</w:t>
      </w:r>
    </w:p>
    <w:p>
      <w:pPr>
        <w:spacing w:line="360" w:lineRule="exact"/>
        <w:ind w:firstLine="480"/>
        <w:jc w:val="left"/>
        <w:rPr>
          <w:rFonts w:ascii="宋体" w:hAnsi="宋体"/>
          <w:sz w:val="24"/>
        </w:rPr>
      </w:pPr>
      <w:r>
        <w:rPr>
          <w:rFonts w:ascii="宋体" w:hAnsi="宋体"/>
          <w:sz w:val="24"/>
        </w:rPr>
        <w:t>关于延期最长不得超过：</w:t>
      </w:r>
      <w:r>
        <w:rPr>
          <w:rFonts w:hint="eastAsia" w:ascii="宋体" w:hAnsi="宋体"/>
          <w:sz w:val="24"/>
          <w:u w:val="single"/>
        </w:rPr>
        <w:t>24</w:t>
      </w:r>
      <w:r>
        <w:rPr>
          <w:rFonts w:ascii="宋体" w:hAnsi="宋体"/>
          <w:sz w:val="24"/>
        </w:rPr>
        <w:t>小时。</w:t>
      </w:r>
    </w:p>
    <w:p>
      <w:pPr>
        <w:pStyle w:val="7"/>
        <w:ind w:firstLine="420"/>
        <w:rPr>
          <w:bCs w:val="0"/>
        </w:rPr>
      </w:pPr>
      <w:bookmarkStart w:id="971" w:name="_Toc18683336"/>
      <w:bookmarkStart w:id="972" w:name="_Toc296891051"/>
      <w:bookmarkStart w:id="973" w:name="_Toc303539173"/>
      <w:bookmarkStart w:id="974" w:name="_Toc297048409"/>
      <w:bookmarkStart w:id="975" w:name="_Toc297216224"/>
      <w:bookmarkStart w:id="976" w:name="_Toc297120523"/>
      <w:bookmarkStart w:id="977" w:name="_Toc300935016"/>
      <w:bookmarkStart w:id="978" w:name="_Toc312678056"/>
      <w:bookmarkStart w:id="979" w:name="_Toc296891263"/>
      <w:bookmarkStart w:id="980" w:name="_Toc296944562"/>
      <w:bookmarkStart w:id="981" w:name="_Toc304295596"/>
      <w:bookmarkStart w:id="982" w:name="_Toc296503223"/>
      <w:bookmarkStart w:id="983" w:name="_Toc297123565"/>
      <w:bookmarkStart w:id="984" w:name="_Toc296346724"/>
      <w:bookmarkStart w:id="985" w:name="_Toc292559933"/>
      <w:bookmarkStart w:id="986" w:name="_Toc296347222"/>
      <w:bookmarkStart w:id="987" w:name="_Toc292559428"/>
      <w:bookmarkStart w:id="988" w:name="_Toc267251470"/>
      <w:bookmarkStart w:id="989" w:name="_Toc267251471"/>
      <w:bookmarkStart w:id="990" w:name="_Toc267251473"/>
      <w:bookmarkStart w:id="991" w:name="_Toc267251474"/>
      <w:bookmarkStart w:id="992" w:name="_Toc267251472"/>
      <w:bookmarkStart w:id="993" w:name="_Toc267251475"/>
      <w:bookmarkStart w:id="994" w:name="_Toc267251476"/>
      <w:r>
        <w:rPr>
          <w:bCs w:val="0"/>
        </w:rPr>
        <w:t>13.2 竣工验收</w:t>
      </w:r>
      <w:bookmarkEnd w:id="971"/>
    </w:p>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Pr>
        <w:spacing w:line="360" w:lineRule="exact"/>
        <w:ind w:firstLine="480"/>
        <w:jc w:val="left"/>
        <w:rPr>
          <w:rFonts w:ascii="宋体" w:hAnsi="宋体"/>
          <w:sz w:val="24"/>
        </w:rPr>
      </w:pPr>
      <w:bookmarkStart w:id="995" w:name="_Toc280868704"/>
      <w:bookmarkStart w:id="996" w:name="_Toc280868705"/>
      <w:bookmarkStart w:id="997" w:name="_Toc280868706"/>
      <w:bookmarkStart w:id="998" w:name="_Toc280868707"/>
      <w:bookmarkStart w:id="999" w:name="_Toc280868708"/>
      <w:bookmarkStart w:id="1000" w:name="_Toc280868709"/>
      <w:r>
        <w:rPr>
          <w:rFonts w:ascii="宋体" w:hAnsi="宋体"/>
          <w:sz w:val="24"/>
        </w:rPr>
        <w:t>13.2.</w:t>
      </w:r>
      <w:r>
        <w:rPr>
          <w:rFonts w:hint="eastAsia" w:ascii="宋体" w:hAnsi="宋体"/>
          <w:sz w:val="24"/>
        </w:rPr>
        <w:t>1</w:t>
      </w:r>
      <w:r>
        <w:rPr>
          <w:rFonts w:ascii="宋体" w:hAnsi="宋体"/>
          <w:sz w:val="24"/>
        </w:rPr>
        <w:t>竣工验收程序</w:t>
      </w:r>
    </w:p>
    <w:bookmarkEnd w:id="995"/>
    <w:p>
      <w:pPr>
        <w:spacing w:line="360" w:lineRule="exact"/>
        <w:ind w:firstLine="480"/>
        <w:jc w:val="left"/>
        <w:rPr>
          <w:rFonts w:ascii="宋体" w:hAnsi="宋体"/>
          <w:sz w:val="24"/>
        </w:rPr>
      </w:pPr>
      <w:r>
        <w:rPr>
          <w:rFonts w:ascii="宋体" w:hAnsi="宋体"/>
          <w:kern w:val="0"/>
          <w:sz w:val="24"/>
        </w:rPr>
        <w:t>关于竣工验收程序的约定：</w:t>
      </w:r>
      <w:r>
        <w:rPr>
          <w:rFonts w:hint="eastAsia" w:ascii="宋体" w:hAnsi="宋体"/>
          <w:sz w:val="24"/>
          <w:u w:val="single"/>
        </w:rPr>
        <w:t xml:space="preserve">建设工程经竣工验收合格的，以竣工验收合格之日为竣工日期 </w:t>
      </w:r>
      <w:r>
        <w:rPr>
          <w:rFonts w:ascii="宋体" w:hAnsi="宋体"/>
          <w:sz w:val="24"/>
        </w:rPr>
        <w:t>。</w:t>
      </w:r>
    </w:p>
    <w:p>
      <w:pPr>
        <w:spacing w:line="360" w:lineRule="exact"/>
        <w:ind w:firstLine="480"/>
        <w:jc w:val="left"/>
        <w:rPr>
          <w:rFonts w:ascii="宋体" w:hAnsi="宋体"/>
          <w:sz w:val="24"/>
          <w:u w:val="single"/>
        </w:rPr>
      </w:pPr>
      <w:r>
        <w:rPr>
          <w:rFonts w:ascii="宋体" w:hAnsi="宋体"/>
          <w:kern w:val="0"/>
          <w:sz w:val="24"/>
        </w:rPr>
        <w:t>发包人不按照本项约定组织竣工验收、颁发工程接收证书的违约金的计算方法：</w:t>
      </w:r>
    </w:p>
    <w:p>
      <w:pPr>
        <w:spacing w:line="360" w:lineRule="exact"/>
        <w:ind w:firstLine="480"/>
        <w:jc w:val="left"/>
        <w:rPr>
          <w:rFonts w:ascii="宋体" w:hAnsi="宋体"/>
          <w:sz w:val="24"/>
        </w:rPr>
      </w:pPr>
      <w:r>
        <w:rPr>
          <w:rFonts w:hint="eastAsia" w:ascii="宋体" w:hAnsi="宋体"/>
          <w:sz w:val="24"/>
          <w:u w:val="single"/>
        </w:rPr>
        <w:t>无</w:t>
      </w:r>
      <w:r>
        <w:rPr>
          <w:rFonts w:ascii="宋体" w:hAnsi="宋体"/>
          <w:sz w:val="24"/>
        </w:rPr>
        <w:t>。</w:t>
      </w:r>
    </w:p>
    <w:bookmarkEnd w:id="996"/>
    <w:p>
      <w:pPr>
        <w:spacing w:line="360" w:lineRule="exact"/>
        <w:ind w:firstLine="480"/>
        <w:jc w:val="left"/>
        <w:rPr>
          <w:rFonts w:ascii="宋体" w:hAnsi="宋体"/>
          <w:sz w:val="24"/>
        </w:rPr>
      </w:pPr>
      <w:r>
        <w:rPr>
          <w:rFonts w:ascii="宋体" w:hAnsi="宋体"/>
          <w:sz w:val="24"/>
        </w:rPr>
        <w:t>13.2.</w:t>
      </w:r>
      <w:r>
        <w:rPr>
          <w:rFonts w:hint="eastAsia" w:ascii="宋体" w:hAnsi="宋体"/>
          <w:sz w:val="24"/>
        </w:rPr>
        <w:t>2</w:t>
      </w:r>
      <w:r>
        <w:rPr>
          <w:rFonts w:ascii="宋体" w:hAnsi="宋体"/>
          <w:sz w:val="24"/>
        </w:rPr>
        <w:t>移交、接收全部与部分工程</w:t>
      </w:r>
    </w:p>
    <w:bookmarkEnd w:id="997"/>
    <w:p>
      <w:pPr>
        <w:spacing w:line="360" w:lineRule="exact"/>
        <w:ind w:firstLine="480"/>
        <w:jc w:val="left"/>
        <w:rPr>
          <w:rFonts w:ascii="宋体" w:hAnsi="宋体"/>
          <w:kern w:val="0"/>
          <w:sz w:val="24"/>
        </w:rPr>
      </w:pPr>
      <w:r>
        <w:rPr>
          <w:rFonts w:hint="eastAsia" w:ascii="宋体" w:hAnsi="宋体"/>
          <w:kern w:val="0"/>
          <w:sz w:val="24"/>
        </w:rPr>
        <w:t>承包人向发包人移交工程的期限：</w:t>
      </w:r>
      <w:r>
        <w:rPr>
          <w:rFonts w:hint="eastAsia" w:ascii="宋体" w:hAnsi="宋体"/>
          <w:sz w:val="24"/>
          <w:u w:val="single"/>
        </w:rPr>
        <w:t xml:space="preserve">见通用合同条款 </w:t>
      </w:r>
      <w:r>
        <w:rPr>
          <w:rFonts w:hint="eastAsia" w:ascii="宋体" w:hAnsi="宋体"/>
          <w:sz w:val="24"/>
        </w:rPr>
        <w:t>。</w:t>
      </w:r>
    </w:p>
    <w:p>
      <w:pPr>
        <w:spacing w:line="360" w:lineRule="exact"/>
        <w:ind w:firstLine="480"/>
        <w:jc w:val="left"/>
        <w:rPr>
          <w:rFonts w:ascii="宋体" w:hAnsi="宋体"/>
          <w:sz w:val="24"/>
          <w:u w:val="single"/>
        </w:rPr>
      </w:pPr>
      <w:r>
        <w:rPr>
          <w:rFonts w:ascii="宋体" w:hAnsi="宋体"/>
          <w:kern w:val="0"/>
          <w:sz w:val="24"/>
        </w:rPr>
        <w:t>发包人未按本合同约定接收全部或部分工程的，违约金的计算方法为：</w:t>
      </w:r>
      <w:r>
        <w:rPr>
          <w:rFonts w:hint="eastAsia" w:ascii="宋体" w:hAnsi="宋体"/>
          <w:sz w:val="24"/>
          <w:u w:val="single"/>
        </w:rPr>
        <w:t>无</w:t>
      </w:r>
      <w:r>
        <w:rPr>
          <w:rFonts w:ascii="宋体" w:hAnsi="宋体"/>
          <w:sz w:val="24"/>
        </w:rPr>
        <w:t>。</w:t>
      </w:r>
    </w:p>
    <w:bookmarkEnd w:id="998"/>
    <w:p>
      <w:pPr>
        <w:spacing w:line="360" w:lineRule="exact"/>
        <w:ind w:firstLine="480"/>
        <w:jc w:val="left"/>
        <w:rPr>
          <w:rFonts w:ascii="宋体" w:hAnsi="宋体"/>
          <w:sz w:val="24"/>
        </w:rPr>
      </w:pPr>
      <w:r>
        <w:rPr>
          <w:rFonts w:ascii="宋体" w:hAnsi="宋体"/>
          <w:sz w:val="24"/>
        </w:rPr>
        <w:t>承包人未按时移交工程的，违约金的计算方法为：</w:t>
      </w:r>
      <w:r>
        <w:rPr>
          <w:rFonts w:hint="eastAsia" w:ascii="宋体" w:hAnsi="宋体"/>
          <w:sz w:val="24"/>
          <w:u w:val="single"/>
        </w:rPr>
        <w:t xml:space="preserve"> 见通用合同条款</w:t>
      </w:r>
      <w:r>
        <w:rPr>
          <w:rFonts w:ascii="宋体" w:hAnsi="宋体"/>
          <w:sz w:val="24"/>
        </w:rPr>
        <w:t>。</w:t>
      </w:r>
    </w:p>
    <w:p>
      <w:pPr>
        <w:pStyle w:val="7"/>
        <w:ind w:firstLine="420"/>
        <w:rPr>
          <w:bCs w:val="0"/>
        </w:rPr>
      </w:pPr>
      <w:bookmarkStart w:id="1001" w:name="_Toc18683337"/>
      <w:r>
        <w:rPr>
          <w:bCs w:val="0"/>
        </w:rPr>
        <w:t>13.3 工程试车</w:t>
      </w:r>
      <w:bookmarkEnd w:id="1001"/>
    </w:p>
    <w:bookmarkEnd w:id="999"/>
    <w:p>
      <w:pPr>
        <w:spacing w:line="360" w:lineRule="exact"/>
        <w:ind w:firstLine="480"/>
        <w:jc w:val="left"/>
        <w:rPr>
          <w:rFonts w:ascii="宋体" w:hAnsi="宋体"/>
          <w:kern w:val="0"/>
          <w:sz w:val="24"/>
        </w:rPr>
      </w:pPr>
      <w:r>
        <w:rPr>
          <w:rFonts w:ascii="宋体" w:hAnsi="宋体"/>
          <w:kern w:val="0"/>
          <w:sz w:val="24"/>
        </w:rPr>
        <w:t>13.3.1 试车程序</w:t>
      </w:r>
    </w:p>
    <w:p>
      <w:pPr>
        <w:spacing w:line="360" w:lineRule="exact"/>
        <w:ind w:firstLine="480"/>
        <w:jc w:val="left"/>
        <w:rPr>
          <w:rFonts w:ascii="宋体" w:hAnsi="宋体"/>
          <w:kern w:val="0"/>
          <w:sz w:val="24"/>
        </w:rPr>
      </w:pPr>
      <w:r>
        <w:rPr>
          <w:rFonts w:ascii="宋体" w:hAnsi="宋体"/>
          <w:kern w:val="0"/>
          <w:sz w:val="24"/>
        </w:rPr>
        <w:t>工程试车内容：</w:t>
      </w:r>
      <w:r>
        <w:rPr>
          <w:rFonts w:hint="eastAsia" w:ascii="宋体" w:hAnsi="宋体"/>
          <w:sz w:val="24"/>
          <w:u w:val="single"/>
        </w:rPr>
        <w:t>见通用合同条款</w:t>
      </w:r>
      <w:r>
        <w:rPr>
          <w:rFonts w:ascii="宋体" w:hAnsi="宋体"/>
          <w:sz w:val="24"/>
        </w:rPr>
        <w:t>。</w:t>
      </w:r>
    </w:p>
    <w:p>
      <w:pPr>
        <w:spacing w:line="360" w:lineRule="exact"/>
        <w:ind w:firstLine="480"/>
        <w:jc w:val="left"/>
        <w:rPr>
          <w:rFonts w:ascii="宋体" w:hAnsi="宋体"/>
          <w:kern w:val="0"/>
          <w:sz w:val="24"/>
        </w:rPr>
      </w:pPr>
      <w:r>
        <w:rPr>
          <w:rFonts w:ascii="宋体" w:hAnsi="宋体"/>
          <w:kern w:val="0"/>
          <w:sz w:val="24"/>
        </w:rPr>
        <w:t>（1）单机无负荷试车费用由</w:t>
      </w:r>
      <w:r>
        <w:rPr>
          <w:rFonts w:hint="eastAsia" w:ascii="宋体" w:hAnsi="宋体"/>
          <w:sz w:val="24"/>
          <w:u w:val="single"/>
        </w:rPr>
        <w:t>承包人</w:t>
      </w:r>
      <w:r>
        <w:rPr>
          <w:rFonts w:ascii="宋体" w:hAnsi="宋体"/>
          <w:kern w:val="0"/>
          <w:sz w:val="24"/>
        </w:rPr>
        <w:t>承担；</w:t>
      </w:r>
    </w:p>
    <w:p>
      <w:pPr>
        <w:spacing w:line="360" w:lineRule="exact"/>
        <w:ind w:firstLine="480"/>
        <w:jc w:val="left"/>
        <w:rPr>
          <w:rFonts w:ascii="宋体" w:hAnsi="宋体"/>
          <w:kern w:val="0"/>
          <w:sz w:val="24"/>
        </w:rPr>
      </w:pPr>
      <w:r>
        <w:rPr>
          <w:rFonts w:ascii="宋体" w:hAnsi="宋体"/>
          <w:kern w:val="0"/>
          <w:sz w:val="24"/>
        </w:rPr>
        <w:t>（2）无负荷联动试车费用由</w:t>
      </w:r>
      <w:r>
        <w:rPr>
          <w:rFonts w:hint="eastAsia" w:ascii="宋体" w:hAnsi="宋体"/>
          <w:sz w:val="24"/>
          <w:u w:val="single"/>
        </w:rPr>
        <w:t>承包人</w:t>
      </w:r>
      <w:r>
        <w:rPr>
          <w:rFonts w:ascii="宋体" w:hAnsi="宋体"/>
          <w:kern w:val="0"/>
          <w:sz w:val="24"/>
        </w:rPr>
        <w:t>承担。</w:t>
      </w:r>
    </w:p>
    <w:p>
      <w:pPr>
        <w:spacing w:line="360" w:lineRule="exact"/>
        <w:ind w:firstLine="480"/>
        <w:jc w:val="left"/>
        <w:rPr>
          <w:rFonts w:ascii="宋体" w:hAnsi="宋体"/>
          <w:kern w:val="0"/>
          <w:sz w:val="24"/>
        </w:rPr>
      </w:pPr>
      <w:r>
        <w:rPr>
          <w:rFonts w:ascii="宋体" w:hAnsi="宋体"/>
          <w:kern w:val="0"/>
          <w:sz w:val="24"/>
        </w:rPr>
        <w:t>13.3.</w:t>
      </w:r>
      <w:r>
        <w:rPr>
          <w:rFonts w:hint="eastAsia" w:ascii="宋体" w:hAnsi="宋体"/>
          <w:kern w:val="0"/>
          <w:sz w:val="24"/>
        </w:rPr>
        <w:t>2</w:t>
      </w:r>
      <w:r>
        <w:rPr>
          <w:rFonts w:ascii="宋体" w:hAnsi="宋体"/>
          <w:kern w:val="0"/>
          <w:sz w:val="24"/>
        </w:rPr>
        <w:t xml:space="preserve"> 投料试车</w:t>
      </w:r>
    </w:p>
    <w:p>
      <w:pPr>
        <w:spacing w:line="360" w:lineRule="exact"/>
        <w:ind w:firstLine="480"/>
        <w:jc w:val="left"/>
        <w:rPr>
          <w:rFonts w:ascii="宋体" w:hAnsi="宋体"/>
          <w:kern w:val="0"/>
          <w:sz w:val="24"/>
        </w:rPr>
      </w:pPr>
      <w:r>
        <w:rPr>
          <w:rFonts w:hint="eastAsia" w:ascii="宋体" w:hAnsi="宋体"/>
          <w:kern w:val="0"/>
          <w:sz w:val="24"/>
        </w:rPr>
        <w:t>关于投料试车相关事项的约定：</w:t>
      </w:r>
      <w:r>
        <w:rPr>
          <w:rFonts w:hint="eastAsia" w:ascii="宋体" w:hAnsi="宋体"/>
          <w:sz w:val="24"/>
          <w:u w:val="single"/>
        </w:rPr>
        <w:t xml:space="preserve">   见通用合同条款</w:t>
      </w:r>
      <w:r>
        <w:rPr>
          <w:rFonts w:ascii="宋体" w:hAnsi="宋体"/>
          <w:sz w:val="24"/>
        </w:rPr>
        <w:t>。</w:t>
      </w:r>
    </w:p>
    <w:p>
      <w:pPr>
        <w:pStyle w:val="7"/>
        <w:ind w:firstLine="420"/>
        <w:rPr>
          <w:bCs w:val="0"/>
        </w:rPr>
      </w:pPr>
      <w:bookmarkStart w:id="1002" w:name="_Toc18683338"/>
      <w:r>
        <w:rPr>
          <w:bCs w:val="0"/>
        </w:rPr>
        <w:t>13.</w:t>
      </w:r>
      <w:r>
        <w:rPr>
          <w:rFonts w:hint="eastAsia"/>
          <w:bCs w:val="0"/>
        </w:rPr>
        <w:t>4</w:t>
      </w:r>
      <w:r>
        <w:rPr>
          <w:bCs w:val="0"/>
        </w:rPr>
        <w:t xml:space="preserve"> 竣工退场</w:t>
      </w:r>
      <w:bookmarkEnd w:id="1002"/>
    </w:p>
    <w:p>
      <w:pPr>
        <w:spacing w:line="360" w:lineRule="exact"/>
        <w:ind w:firstLine="480"/>
        <w:jc w:val="left"/>
        <w:rPr>
          <w:rFonts w:ascii="宋体" w:hAnsi="宋体"/>
          <w:kern w:val="0"/>
          <w:sz w:val="24"/>
        </w:rPr>
      </w:pPr>
      <w:r>
        <w:rPr>
          <w:rFonts w:ascii="宋体" w:hAnsi="宋体"/>
          <w:kern w:val="0"/>
          <w:sz w:val="24"/>
        </w:rPr>
        <w:t>13.</w:t>
      </w:r>
      <w:r>
        <w:rPr>
          <w:rFonts w:hint="eastAsia" w:ascii="宋体" w:hAnsi="宋体"/>
          <w:kern w:val="0"/>
          <w:sz w:val="24"/>
        </w:rPr>
        <w:t>4</w:t>
      </w:r>
      <w:r>
        <w:rPr>
          <w:rFonts w:ascii="宋体" w:hAnsi="宋体"/>
          <w:kern w:val="0"/>
          <w:sz w:val="24"/>
        </w:rPr>
        <w:t>.1 竣工退场</w:t>
      </w:r>
    </w:p>
    <w:p>
      <w:pPr>
        <w:spacing w:line="360" w:lineRule="exact"/>
        <w:ind w:firstLine="480"/>
        <w:jc w:val="left"/>
        <w:rPr>
          <w:rFonts w:ascii="宋体" w:hAnsi="宋体"/>
          <w:kern w:val="0"/>
          <w:sz w:val="24"/>
        </w:rPr>
      </w:pPr>
      <w:r>
        <w:rPr>
          <w:rFonts w:ascii="宋体" w:hAnsi="宋体"/>
          <w:kern w:val="0"/>
          <w:sz w:val="24"/>
        </w:rPr>
        <w:t>承包人完成竣工退场的期限：</w:t>
      </w:r>
      <w:r>
        <w:rPr>
          <w:rFonts w:hint="eastAsia" w:ascii="宋体" w:hAnsi="宋体"/>
          <w:sz w:val="24"/>
          <w:u w:val="single"/>
        </w:rPr>
        <w:t>竣工验收后14日内</w:t>
      </w:r>
      <w:r>
        <w:rPr>
          <w:rFonts w:ascii="宋体" w:hAnsi="宋体"/>
          <w:kern w:val="0"/>
          <w:sz w:val="24"/>
        </w:rPr>
        <w:t>。</w:t>
      </w:r>
    </w:p>
    <w:p>
      <w:pPr>
        <w:pStyle w:val="6"/>
        <w:ind w:left="103" w:leftChars="0" w:firstLineChars="0"/>
      </w:pPr>
      <w:bookmarkStart w:id="1003" w:name="_Toc18683339"/>
      <w:r>
        <w:t>14. 竣工结算</w:t>
      </w:r>
      <w:bookmarkEnd w:id="1003"/>
    </w:p>
    <w:p>
      <w:pPr>
        <w:pStyle w:val="7"/>
        <w:ind w:firstLine="420"/>
        <w:rPr>
          <w:bCs w:val="0"/>
        </w:rPr>
      </w:pPr>
      <w:bookmarkStart w:id="1004" w:name="_Toc18683340"/>
      <w:r>
        <w:rPr>
          <w:bCs w:val="0"/>
        </w:rPr>
        <w:t>14.1 竣工</w:t>
      </w:r>
      <w:r>
        <w:rPr>
          <w:rFonts w:hint="eastAsia"/>
          <w:bCs w:val="0"/>
        </w:rPr>
        <w:t>结算</w:t>
      </w:r>
      <w:r>
        <w:rPr>
          <w:bCs w:val="0"/>
        </w:rPr>
        <w:t>申请</w:t>
      </w:r>
      <w:bookmarkEnd w:id="1004"/>
    </w:p>
    <w:p>
      <w:pPr>
        <w:spacing w:line="360" w:lineRule="exact"/>
        <w:ind w:firstLine="480"/>
        <w:jc w:val="left"/>
        <w:rPr>
          <w:rFonts w:ascii="宋体" w:hAnsi="宋体"/>
          <w:sz w:val="24"/>
        </w:rPr>
      </w:pPr>
      <w:r>
        <w:rPr>
          <w:rFonts w:ascii="宋体" w:hAnsi="宋体"/>
          <w:sz w:val="24"/>
        </w:rPr>
        <w:t>承包人提交竣工</w:t>
      </w:r>
      <w:r>
        <w:rPr>
          <w:rFonts w:hint="eastAsia" w:ascii="宋体" w:hAnsi="宋体"/>
          <w:sz w:val="24"/>
        </w:rPr>
        <w:t>结算</w:t>
      </w:r>
      <w:r>
        <w:rPr>
          <w:rFonts w:ascii="宋体" w:hAnsi="宋体"/>
          <w:sz w:val="24"/>
        </w:rPr>
        <w:t>申请单的期限：</w:t>
      </w:r>
      <w:r>
        <w:rPr>
          <w:rFonts w:hint="eastAsia" w:ascii="宋体" w:hAnsi="宋体"/>
          <w:sz w:val="24"/>
          <w:u w:val="single"/>
        </w:rPr>
        <w:t>竣工验收通过后2个月内</w:t>
      </w:r>
      <w:r>
        <w:rPr>
          <w:rFonts w:ascii="宋体" w:hAnsi="宋体"/>
          <w:sz w:val="24"/>
        </w:rPr>
        <w:t>。</w:t>
      </w:r>
    </w:p>
    <w:p>
      <w:pPr>
        <w:spacing w:line="360" w:lineRule="exact"/>
        <w:ind w:firstLine="480"/>
        <w:jc w:val="left"/>
        <w:rPr>
          <w:rFonts w:ascii="宋体" w:hAnsi="宋体"/>
          <w:sz w:val="24"/>
        </w:rPr>
      </w:pPr>
      <w:r>
        <w:rPr>
          <w:rFonts w:ascii="宋体" w:hAnsi="宋体"/>
          <w:sz w:val="24"/>
        </w:rPr>
        <w:t>竣工</w:t>
      </w:r>
      <w:r>
        <w:rPr>
          <w:rFonts w:hint="eastAsia" w:ascii="宋体" w:hAnsi="宋体"/>
          <w:sz w:val="24"/>
        </w:rPr>
        <w:t>结算</w:t>
      </w:r>
      <w:r>
        <w:rPr>
          <w:rFonts w:ascii="宋体" w:hAnsi="宋体"/>
          <w:sz w:val="24"/>
        </w:rPr>
        <w:t>申请单应包括的内容：</w:t>
      </w:r>
      <w:r>
        <w:rPr>
          <w:rFonts w:hint="eastAsia" w:ascii="宋体" w:hAnsi="宋体"/>
          <w:sz w:val="24"/>
          <w:u w:val="single"/>
        </w:rPr>
        <w:t>见附件9</w:t>
      </w:r>
      <w:r>
        <w:rPr>
          <w:rFonts w:ascii="宋体" w:hAnsi="宋体"/>
          <w:sz w:val="24"/>
        </w:rPr>
        <w:t>。</w:t>
      </w:r>
    </w:p>
    <w:p>
      <w:pPr>
        <w:pStyle w:val="7"/>
        <w:ind w:firstLine="420"/>
        <w:rPr>
          <w:bCs w:val="0"/>
        </w:rPr>
      </w:pPr>
      <w:bookmarkStart w:id="1005" w:name="_Toc18683341"/>
      <w:r>
        <w:rPr>
          <w:bCs w:val="0"/>
        </w:rPr>
        <w:t>14.2 竣工结算审核</w:t>
      </w:r>
      <w:bookmarkEnd w:id="1005"/>
    </w:p>
    <w:p>
      <w:pPr>
        <w:spacing w:line="360" w:lineRule="exact"/>
        <w:ind w:firstLine="480"/>
        <w:jc w:val="left"/>
        <w:rPr>
          <w:rFonts w:ascii="宋体" w:hAnsi="宋体"/>
          <w:sz w:val="24"/>
        </w:rPr>
      </w:pPr>
      <w:r>
        <w:rPr>
          <w:rFonts w:ascii="宋体" w:hAnsi="宋体"/>
          <w:sz w:val="24"/>
        </w:rPr>
        <w:t>发包人</w:t>
      </w:r>
      <w:r>
        <w:rPr>
          <w:rFonts w:hint="eastAsia" w:ascii="宋体" w:hAnsi="宋体"/>
          <w:sz w:val="24"/>
        </w:rPr>
        <w:t>审批</w:t>
      </w:r>
      <w:r>
        <w:rPr>
          <w:rFonts w:ascii="宋体" w:hAnsi="宋体"/>
          <w:sz w:val="24"/>
        </w:rPr>
        <w:t>竣工付款申请单的期限：</w:t>
      </w:r>
      <w:r>
        <w:rPr>
          <w:rFonts w:hint="eastAsia" w:ascii="宋体" w:hAnsi="宋体"/>
          <w:sz w:val="24"/>
          <w:u w:val="single"/>
        </w:rPr>
        <w:t xml:space="preserve">28天内  </w:t>
      </w:r>
      <w:r>
        <w:rPr>
          <w:rFonts w:ascii="宋体" w:hAnsi="宋体"/>
          <w:sz w:val="24"/>
        </w:rPr>
        <w:t>。</w:t>
      </w:r>
    </w:p>
    <w:p>
      <w:pPr>
        <w:spacing w:line="360" w:lineRule="exact"/>
        <w:ind w:firstLine="480"/>
        <w:jc w:val="left"/>
        <w:rPr>
          <w:rFonts w:ascii="宋体" w:hAnsi="宋体"/>
          <w:sz w:val="24"/>
        </w:rPr>
      </w:pPr>
      <w:r>
        <w:rPr>
          <w:rFonts w:ascii="宋体" w:hAnsi="宋体"/>
          <w:sz w:val="24"/>
        </w:rPr>
        <w:t>发包人完成竣工付款的期限：</w:t>
      </w:r>
      <w:r>
        <w:rPr>
          <w:rFonts w:ascii="宋体" w:hAnsi="宋体"/>
          <w:sz w:val="24"/>
          <w:u w:val="single"/>
        </w:rPr>
        <w:t xml:space="preserve">  签发竣工付款证书后</w:t>
      </w:r>
      <w:r>
        <w:rPr>
          <w:rFonts w:hint="eastAsia" w:ascii="宋体" w:hAnsi="宋体"/>
          <w:sz w:val="24"/>
          <w:u w:val="single"/>
        </w:rPr>
        <w:t>28天内</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关于竣工付款证书异议部分复核的方式和程序：</w:t>
      </w:r>
      <w:r>
        <w:rPr>
          <w:rFonts w:hint="eastAsia" w:ascii="宋体" w:hAnsi="宋体"/>
          <w:sz w:val="24"/>
          <w:u w:val="single"/>
        </w:rPr>
        <w:t>诉讼</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审计费用由承包人支付，审计费按审减金额的5%计取（即审计费=实际审减金额*5%），如审计费不足壹仟捌佰元的按壹仟捌佰元计取。</w:t>
      </w:r>
    </w:p>
    <w:p>
      <w:pPr>
        <w:pStyle w:val="7"/>
        <w:ind w:firstLine="420"/>
        <w:rPr>
          <w:bCs w:val="0"/>
        </w:rPr>
      </w:pPr>
      <w:bookmarkStart w:id="1006" w:name="_Toc18683342"/>
      <w:r>
        <w:rPr>
          <w:bCs w:val="0"/>
        </w:rPr>
        <w:t>14.</w:t>
      </w:r>
      <w:r>
        <w:rPr>
          <w:rFonts w:hint="eastAsia"/>
          <w:bCs w:val="0"/>
        </w:rPr>
        <w:t>3</w:t>
      </w:r>
      <w:r>
        <w:rPr>
          <w:bCs w:val="0"/>
        </w:rPr>
        <w:t xml:space="preserve"> 最终结清</w:t>
      </w:r>
      <w:bookmarkEnd w:id="1006"/>
    </w:p>
    <w:p>
      <w:pPr>
        <w:spacing w:line="360" w:lineRule="exact"/>
        <w:ind w:firstLine="480"/>
        <w:jc w:val="left"/>
        <w:rPr>
          <w:rFonts w:ascii="宋体" w:hAnsi="宋体"/>
          <w:kern w:val="0"/>
          <w:sz w:val="24"/>
        </w:rPr>
      </w:pPr>
      <w:r>
        <w:rPr>
          <w:rFonts w:ascii="宋体" w:hAnsi="宋体"/>
          <w:kern w:val="0"/>
          <w:sz w:val="24"/>
        </w:rPr>
        <w:t>14.</w:t>
      </w:r>
      <w:r>
        <w:rPr>
          <w:rFonts w:hint="eastAsia" w:ascii="宋体" w:hAnsi="宋体"/>
          <w:kern w:val="0"/>
          <w:sz w:val="24"/>
        </w:rPr>
        <w:t>3</w:t>
      </w:r>
      <w:r>
        <w:rPr>
          <w:rFonts w:ascii="宋体" w:hAnsi="宋体"/>
          <w:kern w:val="0"/>
          <w:sz w:val="24"/>
        </w:rPr>
        <w:t>.1 最终结清申请单</w:t>
      </w:r>
    </w:p>
    <w:p>
      <w:pPr>
        <w:spacing w:line="360" w:lineRule="exact"/>
        <w:ind w:firstLine="480"/>
        <w:jc w:val="left"/>
        <w:rPr>
          <w:rFonts w:ascii="宋体" w:hAnsi="宋体"/>
          <w:kern w:val="0"/>
          <w:sz w:val="24"/>
        </w:rPr>
      </w:pPr>
      <w:r>
        <w:rPr>
          <w:rFonts w:ascii="宋体" w:hAnsi="宋体"/>
          <w:kern w:val="0"/>
          <w:sz w:val="24"/>
        </w:rPr>
        <w:t>承包人提交最终结清申请单的份数：</w:t>
      </w:r>
      <w:r>
        <w:rPr>
          <w:rFonts w:hint="eastAsia" w:ascii="宋体" w:hAnsi="宋体"/>
          <w:sz w:val="24"/>
          <w:u w:val="single"/>
        </w:rPr>
        <w:t>1份</w:t>
      </w:r>
      <w:r>
        <w:rPr>
          <w:rFonts w:ascii="宋体" w:hAnsi="宋体"/>
          <w:sz w:val="24"/>
        </w:rPr>
        <w:t>。</w:t>
      </w:r>
    </w:p>
    <w:p>
      <w:pPr>
        <w:spacing w:line="360" w:lineRule="exact"/>
        <w:ind w:firstLine="480"/>
        <w:jc w:val="left"/>
        <w:rPr>
          <w:rFonts w:ascii="宋体" w:hAnsi="宋体"/>
          <w:sz w:val="24"/>
        </w:rPr>
      </w:pPr>
      <w:r>
        <w:rPr>
          <w:rFonts w:ascii="宋体" w:hAnsi="宋体"/>
          <w:kern w:val="0"/>
          <w:sz w:val="24"/>
        </w:rPr>
        <w:t>承包人提交最终结算申请单的期限：</w:t>
      </w:r>
      <w:r>
        <w:rPr>
          <w:rFonts w:hint="eastAsia" w:ascii="宋体" w:hAnsi="宋体"/>
          <w:sz w:val="24"/>
          <w:u w:val="single"/>
        </w:rPr>
        <w:t>保修期结束后14天内</w:t>
      </w:r>
      <w:r>
        <w:rPr>
          <w:rFonts w:hint="eastAsia" w:ascii="宋体" w:hAnsi="宋体"/>
          <w:sz w:val="24"/>
        </w:rPr>
        <w:t>。</w:t>
      </w:r>
    </w:p>
    <w:p>
      <w:pPr>
        <w:spacing w:line="360" w:lineRule="exact"/>
        <w:ind w:firstLine="480"/>
        <w:jc w:val="left"/>
        <w:rPr>
          <w:rFonts w:ascii="宋体" w:hAnsi="宋体"/>
          <w:sz w:val="24"/>
        </w:rPr>
      </w:pPr>
      <w:r>
        <w:rPr>
          <w:rFonts w:ascii="宋体" w:hAnsi="宋体"/>
          <w:sz w:val="24"/>
        </w:rPr>
        <w:t>14.</w:t>
      </w:r>
      <w:r>
        <w:rPr>
          <w:rFonts w:hint="eastAsia" w:ascii="宋体" w:hAnsi="宋体"/>
          <w:sz w:val="24"/>
        </w:rPr>
        <w:t>3</w:t>
      </w:r>
      <w:r>
        <w:rPr>
          <w:rFonts w:ascii="宋体" w:hAnsi="宋体"/>
          <w:sz w:val="24"/>
        </w:rPr>
        <w:t>.2 最终结清证书和支付</w:t>
      </w:r>
    </w:p>
    <w:p>
      <w:pPr>
        <w:spacing w:line="360" w:lineRule="exact"/>
        <w:ind w:firstLine="480"/>
        <w:jc w:val="left"/>
        <w:rPr>
          <w:rFonts w:ascii="宋体" w:hAnsi="宋体"/>
          <w:sz w:val="24"/>
        </w:rPr>
      </w:pPr>
      <w:r>
        <w:rPr>
          <w:rFonts w:ascii="宋体" w:hAnsi="宋体"/>
          <w:sz w:val="24"/>
        </w:rPr>
        <w:t>（1）发包人完成最终结清申请单的</w:t>
      </w:r>
      <w:r>
        <w:rPr>
          <w:rFonts w:hint="eastAsia" w:ascii="宋体" w:hAnsi="宋体"/>
          <w:sz w:val="24"/>
        </w:rPr>
        <w:t>审批</w:t>
      </w:r>
      <w:r>
        <w:rPr>
          <w:rFonts w:ascii="宋体" w:hAnsi="宋体"/>
          <w:sz w:val="24"/>
        </w:rPr>
        <w:t>并</w:t>
      </w:r>
      <w:bookmarkStart w:id="1007" w:name="_Hlk18669594"/>
      <w:r>
        <w:rPr>
          <w:rFonts w:ascii="宋体" w:hAnsi="宋体"/>
          <w:sz w:val="24"/>
        </w:rPr>
        <w:t>颁发最终结清证书</w:t>
      </w:r>
      <w:bookmarkEnd w:id="1007"/>
      <w:r>
        <w:rPr>
          <w:rFonts w:ascii="宋体" w:hAnsi="宋体"/>
          <w:sz w:val="24"/>
        </w:rPr>
        <w:t>的期限：</w:t>
      </w:r>
      <w:r>
        <w:rPr>
          <w:rFonts w:hint="eastAsia" w:ascii="宋体" w:hAnsi="宋体"/>
          <w:sz w:val="24"/>
          <w:u w:val="single"/>
        </w:rPr>
        <w:t>承包人提交最终结算申请单后14</w:t>
      </w:r>
      <w:r>
        <w:rPr>
          <w:rFonts w:ascii="宋体" w:hAnsi="宋体"/>
          <w:sz w:val="24"/>
        </w:rPr>
        <w:t>。</w:t>
      </w:r>
    </w:p>
    <w:p>
      <w:pPr>
        <w:spacing w:line="360" w:lineRule="exact"/>
        <w:ind w:firstLine="480"/>
        <w:jc w:val="left"/>
        <w:rPr>
          <w:rFonts w:ascii="宋体" w:hAnsi="宋体"/>
          <w:sz w:val="24"/>
        </w:rPr>
      </w:pPr>
      <w:r>
        <w:rPr>
          <w:rFonts w:ascii="宋体" w:hAnsi="宋体"/>
          <w:sz w:val="24"/>
        </w:rPr>
        <w:t>（2）发包人完成支付的期限：颁发最终结清证书</w:t>
      </w:r>
      <w:r>
        <w:rPr>
          <w:rFonts w:hint="eastAsia" w:ascii="宋体" w:hAnsi="宋体"/>
          <w:sz w:val="24"/>
          <w:u w:val="single"/>
        </w:rPr>
        <w:t>14天内</w:t>
      </w:r>
      <w:r>
        <w:rPr>
          <w:rFonts w:ascii="宋体" w:hAnsi="宋体"/>
          <w:sz w:val="24"/>
        </w:rPr>
        <w:t>。</w:t>
      </w:r>
    </w:p>
    <w:p>
      <w:pPr>
        <w:spacing w:line="360" w:lineRule="exact"/>
        <w:ind w:firstLine="480"/>
        <w:jc w:val="left"/>
        <w:rPr>
          <w:rFonts w:ascii="宋体" w:hAnsi="宋体"/>
          <w:sz w:val="24"/>
        </w:rPr>
      </w:pPr>
      <w:r>
        <w:rPr>
          <w:rFonts w:hint="eastAsia" w:ascii="宋体" w:hAnsi="宋体"/>
          <w:sz w:val="24"/>
        </w:rPr>
        <w:t>14.3.3  发票</w:t>
      </w:r>
    </w:p>
    <w:p>
      <w:pPr>
        <w:spacing w:line="360" w:lineRule="exact"/>
        <w:ind w:firstLine="480"/>
        <w:jc w:val="left"/>
        <w:rPr>
          <w:rFonts w:ascii="宋体" w:hAnsi="宋体"/>
          <w:sz w:val="24"/>
        </w:rPr>
      </w:pPr>
      <w:r>
        <w:rPr>
          <w:rFonts w:hint="eastAsia" w:ascii="宋体" w:hAnsi="宋体"/>
          <w:sz w:val="24"/>
        </w:rPr>
        <w:t>承包人应在发包人每次付款日的7个工作日前向发包人提供符合国家规定的正式税务发票，但承包人开具税务发票及发包人接收、入账、抵扣和付款等情况均不能作为证明发包人应付款项数额及承包人提供资料及成果文件质量合格的依据，发包人应付款项数额及承包人提供资料及成果文件是否存在质量问题和承包人是否存在违约，应当依据承包人的实际履行情况据实计算和认定。</w:t>
      </w:r>
    </w:p>
    <w:p>
      <w:pPr>
        <w:spacing w:line="360" w:lineRule="exact"/>
        <w:ind w:firstLine="480"/>
        <w:jc w:val="left"/>
        <w:rPr>
          <w:rFonts w:ascii="宋体" w:hAnsi="宋体"/>
          <w:sz w:val="24"/>
        </w:rPr>
      </w:pPr>
      <w:r>
        <w:rPr>
          <w:rFonts w:hint="eastAsia" w:ascii="宋体" w:hAnsi="宋体"/>
          <w:sz w:val="24"/>
        </w:rPr>
        <w:t xml:space="preserve">14.3.4抗辩、款项抵销：如果承包人提供的资料及成果文件质量和各种权利存在瑕疵及不符合合同约定、发包人要求，或承包人存在违约，或承包人未及时开具相应的国家正式税务发票，或承包人的陈述、承诺、保证不真实或有隐瞒，或承包人因履行本合同侵犯了发包人权利，或承包人侵犯了他人人身及财产、知识产权等权利及与他人有纠纷致发包人受到牵连等，发包人有权暂缓支付合同款，待承包人纠正违约行为、纠纷处理完毕并按约履行相应合同义务后，再根据承包人实际履行情况和纠纷处理情况支付相应合同款。同时，如承包人应支付发包人违约金、赔偿金以及其他款项，则发包人有权直接从应付承包人的合同款中直接扣除予以抵销，而且在承包人未向发包人支付完其应支付的违约金、赔偿金以及其他款项前，不得要求发包人支付本合同的相关费用。 </w:t>
      </w:r>
    </w:p>
    <w:bookmarkEnd w:id="988"/>
    <w:bookmarkEnd w:id="989"/>
    <w:bookmarkEnd w:id="990"/>
    <w:bookmarkEnd w:id="991"/>
    <w:bookmarkEnd w:id="992"/>
    <w:bookmarkEnd w:id="993"/>
    <w:bookmarkEnd w:id="994"/>
    <w:bookmarkEnd w:id="1000"/>
    <w:p>
      <w:pPr>
        <w:pStyle w:val="6"/>
        <w:ind w:left="103" w:leftChars="0" w:firstLineChars="0"/>
      </w:pPr>
      <w:bookmarkStart w:id="1008" w:name="_Toc18683343"/>
      <w:bookmarkStart w:id="1009" w:name="_Toc267251483"/>
      <w:bookmarkStart w:id="1010" w:name="_Toc267251482"/>
      <w:bookmarkStart w:id="1011" w:name="_Toc267251484"/>
      <w:bookmarkStart w:id="1012" w:name="_Toc267251485"/>
      <w:bookmarkStart w:id="1013" w:name="_Toc267251490"/>
      <w:bookmarkStart w:id="1014" w:name="_Toc267251486"/>
      <w:bookmarkStart w:id="1015" w:name="_Toc267251489"/>
      <w:bookmarkStart w:id="1016" w:name="_Toc267251488"/>
      <w:bookmarkStart w:id="1017" w:name="_Toc267251497"/>
      <w:bookmarkStart w:id="1018" w:name="_Toc267251502"/>
      <w:bookmarkStart w:id="1019" w:name="_Toc267251494"/>
      <w:bookmarkStart w:id="1020" w:name="_Toc267251498"/>
      <w:bookmarkStart w:id="1021" w:name="_Toc267251496"/>
      <w:bookmarkStart w:id="1022" w:name="_Toc267251492"/>
      <w:bookmarkStart w:id="1023" w:name="_Toc267251491"/>
      <w:bookmarkStart w:id="1024" w:name="_Toc267251499"/>
      <w:bookmarkStart w:id="1025" w:name="_Toc267251501"/>
      <w:bookmarkStart w:id="1026" w:name="_Toc267251495"/>
      <w:bookmarkStart w:id="1027" w:name="_Toc267251503"/>
      <w:bookmarkStart w:id="1028" w:name="_Toc267251493"/>
      <w:bookmarkStart w:id="1029" w:name="_Toc267251504"/>
      <w:bookmarkStart w:id="1030" w:name="_Toc267251506"/>
      <w:bookmarkStart w:id="1031" w:name="_Toc267251507"/>
      <w:bookmarkStart w:id="1032" w:name="_Toc267251508"/>
      <w:bookmarkStart w:id="1033" w:name="_Toc267251510"/>
      <w:bookmarkStart w:id="1034" w:name="_Toc267251513"/>
      <w:bookmarkStart w:id="1035" w:name="_Toc267251514"/>
      <w:bookmarkStart w:id="1036" w:name="_Toc267251511"/>
      <w:bookmarkStart w:id="1037" w:name="_Toc267251515"/>
      <w:bookmarkStart w:id="1038" w:name="_Toc267251509"/>
      <w:r>
        <w:t>15. 缺陷责任期与保修</w:t>
      </w:r>
      <w:bookmarkEnd w:id="1008"/>
    </w:p>
    <w:p>
      <w:pPr>
        <w:pStyle w:val="7"/>
        <w:ind w:firstLine="420"/>
        <w:rPr>
          <w:bCs w:val="0"/>
        </w:rPr>
      </w:pPr>
      <w:bookmarkStart w:id="1039" w:name="_Toc18683344"/>
      <w:r>
        <w:rPr>
          <w:bCs w:val="0"/>
        </w:rPr>
        <w:t>15.</w:t>
      </w:r>
      <w:r>
        <w:rPr>
          <w:rFonts w:hint="eastAsia"/>
          <w:bCs w:val="0"/>
        </w:rPr>
        <w:t>1</w:t>
      </w:r>
      <w:r>
        <w:rPr>
          <w:bCs w:val="0"/>
        </w:rPr>
        <w:t>缺陷责任期</w:t>
      </w:r>
      <w:bookmarkEnd w:id="1009"/>
      <w:bookmarkEnd w:id="1039"/>
    </w:p>
    <w:p>
      <w:pPr>
        <w:spacing w:line="360" w:lineRule="exact"/>
        <w:ind w:firstLine="480"/>
        <w:jc w:val="left"/>
        <w:rPr>
          <w:rFonts w:ascii="宋体" w:hAnsi="宋体"/>
          <w:sz w:val="24"/>
        </w:rPr>
      </w:pPr>
      <w:r>
        <w:rPr>
          <w:rFonts w:ascii="宋体" w:hAnsi="宋体"/>
          <w:sz w:val="24"/>
        </w:rPr>
        <w:t>缺陷责任期的具体期限：</w:t>
      </w:r>
      <w:r>
        <w:rPr>
          <w:rFonts w:hint="eastAsia" w:ascii="宋体" w:hAnsi="宋体"/>
          <w:sz w:val="24"/>
          <w:u w:val="single"/>
        </w:rPr>
        <w:t>2年</w:t>
      </w:r>
      <w:r>
        <w:rPr>
          <w:rFonts w:ascii="宋体" w:hAnsi="宋体"/>
          <w:sz w:val="24"/>
        </w:rPr>
        <w:t>。</w:t>
      </w:r>
    </w:p>
    <w:p>
      <w:pPr>
        <w:pStyle w:val="7"/>
        <w:ind w:firstLine="420"/>
        <w:rPr>
          <w:bCs w:val="0"/>
        </w:rPr>
      </w:pPr>
      <w:bookmarkStart w:id="1040" w:name="_Toc18683345"/>
      <w:r>
        <w:rPr>
          <w:bCs w:val="0"/>
        </w:rPr>
        <w:t>15.</w:t>
      </w:r>
      <w:r>
        <w:rPr>
          <w:rFonts w:hint="eastAsia"/>
          <w:bCs w:val="0"/>
        </w:rPr>
        <w:t>2</w:t>
      </w:r>
      <w:r>
        <w:rPr>
          <w:bCs w:val="0"/>
        </w:rPr>
        <w:t xml:space="preserve"> 质量保证金</w:t>
      </w:r>
      <w:bookmarkEnd w:id="1040"/>
    </w:p>
    <w:p>
      <w:pPr>
        <w:spacing w:line="360" w:lineRule="exact"/>
        <w:ind w:firstLine="480"/>
        <w:jc w:val="left"/>
        <w:rPr>
          <w:rFonts w:ascii="宋体" w:hAnsi="宋体"/>
          <w:sz w:val="24"/>
        </w:rPr>
      </w:pPr>
      <w:r>
        <w:rPr>
          <w:rFonts w:hint="eastAsia" w:ascii="宋体" w:hAnsi="宋体"/>
          <w:sz w:val="24"/>
        </w:rPr>
        <w:t>关于是否扣留质量保证金的约定：</w:t>
      </w:r>
      <w:r>
        <w:rPr>
          <w:rFonts w:hint="eastAsia" w:ascii="宋体" w:hAnsi="宋体"/>
          <w:sz w:val="24"/>
          <w:u w:val="single"/>
        </w:rPr>
        <w:t>扣留</w:t>
      </w:r>
      <w:r>
        <w:rPr>
          <w:rFonts w:ascii="宋体" w:hAnsi="宋体"/>
          <w:sz w:val="24"/>
        </w:rPr>
        <w:t>。</w:t>
      </w:r>
      <w:r>
        <w:rPr>
          <w:rFonts w:hint="eastAsia" w:ascii="宋体" w:hAnsi="宋体"/>
          <w:sz w:val="24"/>
        </w:rPr>
        <w:t>在工程项目竣工前，承包人按专用合同条款第3.7条提供履约担保的，发包人不得同时预留工程质量保证金。</w:t>
      </w:r>
    </w:p>
    <w:p>
      <w:pPr>
        <w:spacing w:line="360" w:lineRule="exact"/>
        <w:ind w:firstLine="480"/>
        <w:jc w:val="left"/>
        <w:rPr>
          <w:rFonts w:ascii="宋体" w:hAnsi="宋体"/>
          <w:sz w:val="24"/>
        </w:rPr>
      </w:pPr>
      <w:r>
        <w:rPr>
          <w:rFonts w:ascii="宋体" w:hAnsi="宋体"/>
          <w:sz w:val="24"/>
        </w:rPr>
        <w:t>15.</w:t>
      </w:r>
      <w:r>
        <w:rPr>
          <w:rFonts w:hint="eastAsia" w:ascii="宋体" w:hAnsi="宋体"/>
          <w:sz w:val="24"/>
        </w:rPr>
        <w:t>2</w:t>
      </w:r>
      <w:r>
        <w:rPr>
          <w:rFonts w:ascii="宋体" w:hAnsi="宋体"/>
          <w:sz w:val="24"/>
        </w:rPr>
        <w:t xml:space="preserve">.1 </w:t>
      </w:r>
      <w:r>
        <w:rPr>
          <w:rFonts w:hint="eastAsia" w:ascii="宋体" w:hAnsi="宋体"/>
          <w:sz w:val="24"/>
        </w:rPr>
        <w:t>承包人提供</w:t>
      </w:r>
      <w:r>
        <w:rPr>
          <w:rFonts w:ascii="宋体" w:hAnsi="宋体"/>
          <w:sz w:val="24"/>
        </w:rPr>
        <w:t>质量保证金的</w:t>
      </w:r>
      <w:r>
        <w:rPr>
          <w:rFonts w:hint="eastAsia" w:ascii="宋体" w:hAnsi="宋体"/>
          <w:sz w:val="24"/>
        </w:rPr>
        <w:t>方</w:t>
      </w:r>
      <w:r>
        <w:rPr>
          <w:rFonts w:ascii="宋体" w:hAnsi="宋体"/>
          <w:sz w:val="24"/>
        </w:rPr>
        <w:t>式</w:t>
      </w:r>
    </w:p>
    <w:p>
      <w:pPr>
        <w:spacing w:line="360" w:lineRule="exact"/>
        <w:ind w:firstLine="480"/>
        <w:jc w:val="left"/>
        <w:rPr>
          <w:rFonts w:ascii="宋体" w:hAnsi="宋体"/>
          <w:sz w:val="24"/>
        </w:rPr>
      </w:pPr>
      <w:r>
        <w:rPr>
          <w:rFonts w:ascii="宋体" w:hAnsi="宋体"/>
          <w:sz w:val="24"/>
        </w:rPr>
        <w:t>质量保证金采用以下第</w:t>
      </w:r>
      <w:r>
        <w:rPr>
          <w:rFonts w:hint="eastAsia" w:ascii="宋体" w:hAnsi="宋体"/>
          <w:sz w:val="24"/>
          <w:u w:val="single"/>
        </w:rPr>
        <w:t>2</w:t>
      </w:r>
      <w:r>
        <w:rPr>
          <w:rFonts w:ascii="宋体" w:hAnsi="宋体"/>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 xml:space="preserve">（1）质量保证金保函，保证金额为：； </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w:t>
      </w:r>
      <w:r>
        <w:rPr>
          <w:rFonts w:hint="eastAsia" w:ascii="宋体" w:hAnsi="宋体"/>
          <w:kern w:val="0"/>
          <w:sz w:val="24"/>
          <w:u w:val="single"/>
        </w:rPr>
        <w:t>5</w:t>
      </w:r>
      <w:r>
        <w:rPr>
          <w:rFonts w:ascii="宋体" w:hAnsi="宋体"/>
          <w:kern w:val="0"/>
          <w:sz w:val="24"/>
        </w:rPr>
        <w:t>%的工程</w:t>
      </w:r>
      <w:r>
        <w:rPr>
          <w:rFonts w:hint="eastAsia" w:ascii="宋体" w:hAnsi="宋体"/>
          <w:kern w:val="0"/>
          <w:sz w:val="24"/>
        </w:rPr>
        <w:t>结算金额；</w:t>
      </w:r>
    </w:p>
    <w:p>
      <w:pPr>
        <w:spacing w:line="360" w:lineRule="exact"/>
        <w:ind w:firstLine="480"/>
        <w:jc w:val="left"/>
        <w:rPr>
          <w:rFonts w:ascii="宋体" w:hAnsi="宋体"/>
          <w:sz w:val="24"/>
        </w:rPr>
      </w:pPr>
      <w:r>
        <w:rPr>
          <w:rFonts w:ascii="宋体" w:hAnsi="宋体"/>
          <w:sz w:val="24"/>
        </w:rPr>
        <w:t>15.</w:t>
      </w:r>
      <w:r>
        <w:rPr>
          <w:rFonts w:hint="eastAsia" w:ascii="宋体" w:hAnsi="宋体"/>
          <w:sz w:val="24"/>
        </w:rPr>
        <w:t>2</w:t>
      </w:r>
      <w:r>
        <w:rPr>
          <w:rFonts w:ascii="宋体" w:hAnsi="宋体"/>
          <w:sz w:val="24"/>
        </w:rPr>
        <w:t xml:space="preserve">.2 质量保证金的扣留 </w:t>
      </w:r>
    </w:p>
    <w:p>
      <w:pPr>
        <w:spacing w:line="360" w:lineRule="exact"/>
        <w:ind w:firstLine="480"/>
        <w:jc w:val="left"/>
        <w:rPr>
          <w:rFonts w:ascii="宋体" w:hAnsi="宋体"/>
          <w:sz w:val="24"/>
        </w:rPr>
      </w:pPr>
      <w:r>
        <w:rPr>
          <w:rFonts w:ascii="宋体" w:hAnsi="宋体"/>
          <w:sz w:val="24"/>
        </w:rPr>
        <w:t>质量保证金的扣留采取以下第</w:t>
      </w:r>
      <w:r>
        <w:rPr>
          <w:rFonts w:hint="eastAsia" w:ascii="宋体" w:hAnsi="宋体"/>
          <w:sz w:val="24"/>
          <w:u w:val="single"/>
        </w:rPr>
        <w:t>2</w:t>
      </w:r>
      <w:r>
        <w:rPr>
          <w:rFonts w:ascii="宋体" w:hAnsi="宋体"/>
          <w:sz w:val="24"/>
        </w:rPr>
        <w:t>种方式：</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（2）工程竣工结算时一次性扣留质量保证金；</w:t>
      </w:r>
      <w:r>
        <w:rPr>
          <w:rFonts w:hint="eastAsia" w:ascii="宋体" w:hAnsi="宋体"/>
          <w:kern w:val="0"/>
          <w:sz w:val="24"/>
        </w:rPr>
        <w:t>按工程结算审定价的5%。</w:t>
      </w:r>
    </w:p>
    <w:bookmarkEnd w:id="1010"/>
    <w:bookmarkEnd w:id="1011"/>
    <w:p>
      <w:pPr>
        <w:spacing w:after="120" w:line="360" w:lineRule="exact"/>
        <w:ind w:firstLine="480"/>
        <w:rPr>
          <w:rFonts w:ascii="宋体" w:hAnsi="宋体"/>
          <w:sz w:val="24"/>
        </w:rPr>
      </w:pPr>
      <w:r>
        <w:rPr>
          <w:rFonts w:ascii="宋体" w:hAnsi="宋体"/>
          <w:sz w:val="24"/>
        </w:rPr>
        <w:t>15.</w:t>
      </w:r>
      <w:r>
        <w:rPr>
          <w:rFonts w:hint="eastAsia" w:ascii="宋体" w:hAnsi="宋体"/>
          <w:sz w:val="24"/>
        </w:rPr>
        <w:t>3</w:t>
      </w:r>
      <w:r>
        <w:rPr>
          <w:rFonts w:ascii="宋体" w:hAnsi="宋体"/>
          <w:sz w:val="24"/>
        </w:rPr>
        <w:t>保修</w:t>
      </w:r>
    </w:p>
    <w:bookmarkEnd w:id="1012"/>
    <w:p>
      <w:pPr>
        <w:spacing w:line="360" w:lineRule="exact"/>
        <w:ind w:firstLine="468" w:firstLineChars="195"/>
        <w:jc w:val="left"/>
        <w:rPr>
          <w:rFonts w:ascii="宋体" w:hAnsi="宋体"/>
          <w:sz w:val="24"/>
        </w:rPr>
      </w:pPr>
      <w:r>
        <w:rPr>
          <w:rFonts w:ascii="宋体" w:hAnsi="宋体"/>
          <w:sz w:val="24"/>
        </w:rPr>
        <w:t>15.</w:t>
      </w:r>
      <w:r>
        <w:rPr>
          <w:rFonts w:hint="eastAsia" w:ascii="宋体" w:hAnsi="宋体"/>
          <w:sz w:val="24"/>
        </w:rPr>
        <w:t>3</w:t>
      </w:r>
      <w:r>
        <w:rPr>
          <w:rFonts w:ascii="宋体" w:hAnsi="宋体"/>
          <w:sz w:val="24"/>
        </w:rPr>
        <w:t>.1 保修责任</w:t>
      </w:r>
    </w:p>
    <w:p>
      <w:pPr>
        <w:spacing w:line="360" w:lineRule="exact"/>
        <w:ind w:firstLine="468" w:firstLineChars="195"/>
        <w:jc w:val="left"/>
        <w:rPr>
          <w:rFonts w:ascii="宋体" w:hAnsi="宋体"/>
          <w:kern w:val="0"/>
          <w:sz w:val="24"/>
        </w:rPr>
      </w:pPr>
      <w:r>
        <w:rPr>
          <w:rFonts w:hint="eastAsia" w:ascii="宋体" w:hAnsi="宋体"/>
          <w:sz w:val="24"/>
        </w:rPr>
        <w:t>发包人和承包人在合同中需明确本工程保修责任，签署房屋建筑工程质量保修书，见附件3；</w:t>
      </w:r>
      <w:r>
        <w:rPr>
          <w:rFonts w:ascii="宋体" w:hAnsi="宋体"/>
          <w:sz w:val="24"/>
        </w:rPr>
        <w:t>工程保修期为：</w:t>
      </w:r>
      <w:r>
        <w:rPr>
          <w:rFonts w:hint="eastAsia" w:ascii="宋体" w:hAnsi="宋体"/>
          <w:kern w:val="0"/>
          <w:sz w:val="24"/>
          <w:u w:val="single"/>
        </w:rPr>
        <w:t>2年</w:t>
      </w:r>
      <w:r>
        <w:rPr>
          <w:rFonts w:ascii="宋体" w:hAnsi="宋体"/>
          <w:kern w:val="0"/>
          <w:sz w:val="24"/>
        </w:rPr>
        <w:t>。</w:t>
      </w:r>
    </w:p>
    <w:p>
      <w:pPr>
        <w:spacing w:line="360" w:lineRule="exact"/>
        <w:ind w:firstLine="468" w:firstLineChars="195"/>
        <w:jc w:val="left"/>
        <w:rPr>
          <w:rFonts w:ascii="宋体" w:hAnsi="宋体"/>
          <w:sz w:val="24"/>
        </w:rPr>
      </w:pPr>
      <w:r>
        <w:rPr>
          <w:rFonts w:ascii="宋体" w:hAnsi="宋体"/>
          <w:sz w:val="24"/>
        </w:rPr>
        <w:t>15.</w:t>
      </w:r>
      <w:r>
        <w:rPr>
          <w:rFonts w:hint="eastAsia" w:ascii="宋体" w:hAnsi="宋体"/>
          <w:sz w:val="24"/>
        </w:rPr>
        <w:t>3</w:t>
      </w:r>
      <w:r>
        <w:rPr>
          <w:rFonts w:ascii="宋体" w:hAnsi="宋体"/>
          <w:sz w:val="24"/>
        </w:rPr>
        <w:t>.3 修复通知</w:t>
      </w:r>
    </w:p>
    <w:p>
      <w:pPr>
        <w:spacing w:line="360" w:lineRule="exact"/>
        <w:ind w:firstLine="468" w:firstLineChars="195"/>
        <w:jc w:val="left"/>
        <w:rPr>
          <w:rFonts w:ascii="宋体" w:hAnsi="宋体"/>
          <w:kern w:val="0"/>
          <w:sz w:val="24"/>
        </w:rPr>
      </w:pPr>
      <w:r>
        <w:rPr>
          <w:rFonts w:ascii="宋体" w:hAnsi="宋体"/>
          <w:kern w:val="0"/>
          <w:sz w:val="24"/>
        </w:rPr>
        <w:t>承包人收到保修通知并到达工程现场的合理时间：</w:t>
      </w:r>
      <w:r>
        <w:rPr>
          <w:rFonts w:hint="eastAsia" w:ascii="宋体" w:hAnsi="宋体"/>
          <w:kern w:val="0"/>
          <w:sz w:val="24"/>
          <w:u w:val="single"/>
        </w:rPr>
        <w:t>4小时内</w:t>
      </w:r>
      <w:r>
        <w:rPr>
          <w:rFonts w:ascii="宋体" w:hAnsi="宋体"/>
          <w:kern w:val="0"/>
          <w:sz w:val="24"/>
        </w:rPr>
        <w:t>。</w:t>
      </w:r>
    </w:p>
    <w:bookmarkEnd w:id="1013"/>
    <w:bookmarkEnd w:id="1014"/>
    <w:bookmarkEnd w:id="1015"/>
    <w:bookmarkEnd w:id="1016"/>
    <w:p>
      <w:pPr>
        <w:pStyle w:val="6"/>
        <w:ind w:left="103" w:leftChars="0" w:firstLineChars="0"/>
      </w:pPr>
      <w:bookmarkStart w:id="1041" w:name="_Toc18683346"/>
      <w:bookmarkStart w:id="1042" w:name="_Toc280868717"/>
      <w:bookmarkStart w:id="1043" w:name="_Toc280868718"/>
      <w:r>
        <w:t>16. 违约</w:t>
      </w:r>
      <w:bookmarkEnd w:id="1041"/>
    </w:p>
    <w:p>
      <w:pPr>
        <w:pStyle w:val="7"/>
        <w:ind w:firstLine="420"/>
        <w:rPr>
          <w:bCs w:val="0"/>
        </w:rPr>
      </w:pPr>
      <w:bookmarkStart w:id="1044" w:name="_Toc18683347"/>
      <w:r>
        <w:rPr>
          <w:bCs w:val="0"/>
        </w:rPr>
        <w:t>16.1 发包人违约</w:t>
      </w:r>
      <w:bookmarkEnd w:id="1044"/>
    </w:p>
    <w:p>
      <w:pPr>
        <w:spacing w:line="360" w:lineRule="exact"/>
        <w:ind w:firstLine="480"/>
        <w:jc w:val="left"/>
        <w:rPr>
          <w:rFonts w:ascii="宋体" w:hAnsi="宋体"/>
          <w:sz w:val="24"/>
        </w:rPr>
      </w:pPr>
      <w:r>
        <w:rPr>
          <w:rFonts w:ascii="宋体" w:hAnsi="宋体"/>
          <w:sz w:val="24"/>
        </w:rPr>
        <w:t>16.1.1发包人违约的情形</w:t>
      </w:r>
    </w:p>
    <w:p>
      <w:pPr>
        <w:spacing w:line="360" w:lineRule="exact"/>
        <w:ind w:firstLine="480"/>
        <w:jc w:val="left"/>
        <w:rPr>
          <w:rFonts w:ascii="宋体" w:hAnsi="宋体"/>
          <w:kern w:val="0"/>
          <w:sz w:val="24"/>
        </w:rPr>
      </w:pPr>
      <w:r>
        <w:rPr>
          <w:rFonts w:ascii="宋体" w:hAnsi="宋体"/>
          <w:kern w:val="0"/>
          <w:sz w:val="24"/>
        </w:rPr>
        <w:t>发包人违约的其他情形：</w:t>
      </w:r>
      <w:r>
        <w:rPr>
          <w:rFonts w:hint="eastAsia" w:ascii="宋体" w:hAnsi="宋体"/>
          <w:kern w:val="0"/>
          <w:sz w:val="24"/>
          <w:u w:val="single"/>
        </w:rPr>
        <w:t>无</w:t>
      </w:r>
      <w:r>
        <w:rPr>
          <w:rFonts w:ascii="宋体" w:hAnsi="宋体"/>
          <w:kern w:val="0"/>
          <w:sz w:val="24"/>
        </w:rPr>
        <w:t>。</w:t>
      </w:r>
    </w:p>
    <w:p>
      <w:pPr>
        <w:spacing w:line="360" w:lineRule="exact"/>
        <w:ind w:left="1200" w:hanging="1200" w:hangingChars="500"/>
        <w:jc w:val="left"/>
        <w:rPr>
          <w:rFonts w:ascii="宋体" w:hAnsi="宋体"/>
          <w:kern w:val="0"/>
          <w:sz w:val="24"/>
        </w:rPr>
      </w:pPr>
      <w:r>
        <w:rPr>
          <w:rFonts w:ascii="宋体" w:hAnsi="宋体"/>
          <w:kern w:val="0"/>
          <w:sz w:val="24"/>
        </w:rPr>
        <w:t xml:space="preserve">    16.1.2 发包人违约的责任</w:t>
      </w:r>
    </w:p>
    <w:p>
      <w:pPr>
        <w:spacing w:line="360" w:lineRule="exact"/>
        <w:ind w:firstLine="480"/>
        <w:jc w:val="left"/>
        <w:rPr>
          <w:rFonts w:ascii="宋体" w:hAnsi="宋体"/>
          <w:kern w:val="0"/>
          <w:sz w:val="24"/>
        </w:rPr>
      </w:pPr>
      <w:r>
        <w:rPr>
          <w:rFonts w:ascii="宋体" w:hAnsi="宋体"/>
          <w:kern w:val="0"/>
          <w:sz w:val="24"/>
        </w:rPr>
        <w:t>发包人违约责任的承担方式和计算方法：</w:t>
      </w:r>
    </w:p>
    <w:p>
      <w:pPr>
        <w:spacing w:line="360" w:lineRule="exact"/>
        <w:ind w:firstLine="480"/>
        <w:jc w:val="left"/>
        <w:rPr>
          <w:rFonts w:ascii="宋体" w:hAnsi="宋体"/>
          <w:kern w:val="0"/>
          <w:sz w:val="24"/>
          <w:u w:val="single"/>
        </w:rPr>
      </w:pPr>
      <w:r>
        <w:rPr>
          <w:rFonts w:ascii="宋体" w:hAnsi="宋体"/>
          <w:kern w:val="0"/>
          <w:sz w:val="24"/>
        </w:rPr>
        <w:t>（1）因发包人原因未能在计划开工日期前7天内下达开工通知的违约责任：</w:t>
      </w:r>
      <w:r>
        <w:rPr>
          <w:rFonts w:hint="eastAsia" w:ascii="宋体" w:hAnsi="宋体"/>
          <w:kern w:val="0"/>
          <w:sz w:val="24"/>
          <w:u w:val="single"/>
        </w:rPr>
        <w:t>工期顺延，不得进行经济索赔</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（2）因发包人原因未能按合同约定支付合同价款的违约责任：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（3）发包人违反第10.1款</w:t>
      </w:r>
      <w:r>
        <w:rPr>
          <w:rFonts w:hint="eastAsia" w:ascii="宋体" w:hAnsi="宋体"/>
          <w:kern w:val="0"/>
          <w:sz w:val="24"/>
        </w:rPr>
        <w:t>〔</w:t>
      </w:r>
      <w:r>
        <w:rPr>
          <w:rFonts w:ascii="宋体" w:hAnsi="宋体"/>
          <w:kern w:val="0"/>
          <w:sz w:val="24"/>
        </w:rPr>
        <w:t>变更的范围</w:t>
      </w:r>
      <w:r>
        <w:rPr>
          <w:rFonts w:hint="eastAsia" w:ascii="宋体" w:hAnsi="宋体"/>
          <w:kern w:val="0"/>
          <w:sz w:val="24"/>
        </w:rPr>
        <w:t>〕</w:t>
      </w:r>
      <w:r>
        <w:rPr>
          <w:rFonts w:ascii="宋体" w:hAnsi="宋体"/>
          <w:kern w:val="0"/>
          <w:sz w:val="24"/>
        </w:rPr>
        <w:t>第（2）项约定，自行实施被取消的工作或转由他人实施的违约责任：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（4）发包人提供的材料、工程设备的规格、数量或质量不符合合同约定，或因发包人原因导致交货日期延误或交货地点变更等情况的违约责任：</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（5）因发包人违反合同约定造成暂停施工的违约责任：</w:t>
      </w:r>
      <w:r>
        <w:rPr>
          <w:rFonts w:hint="eastAsia" w:ascii="宋体" w:hAnsi="宋体"/>
          <w:kern w:val="0"/>
          <w:sz w:val="24"/>
          <w:u w:val="single"/>
        </w:rPr>
        <w:t xml:space="preserve">工期顺延 </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（6）发包人无正当理由没有在约定期限内发出复工指示，导致承包人无法复工的违约责任：</w:t>
      </w:r>
      <w:r>
        <w:rPr>
          <w:rFonts w:hint="eastAsia" w:ascii="宋体" w:hAnsi="宋体"/>
          <w:kern w:val="0"/>
          <w:sz w:val="24"/>
          <w:u w:val="single"/>
        </w:rPr>
        <w:t>工期顺延</w:t>
      </w:r>
      <w:r>
        <w:rPr>
          <w:rFonts w:ascii="宋体" w:hAnsi="宋体"/>
          <w:kern w:val="0"/>
          <w:sz w:val="24"/>
        </w:rPr>
        <w:t>。</w:t>
      </w:r>
    </w:p>
    <w:p>
      <w:pPr>
        <w:spacing w:line="360" w:lineRule="exact"/>
        <w:ind w:firstLine="480"/>
        <w:jc w:val="left"/>
        <w:rPr>
          <w:rFonts w:ascii="宋体" w:hAnsi="宋体"/>
          <w:kern w:val="0"/>
          <w:sz w:val="24"/>
        </w:rPr>
      </w:pPr>
      <w:r>
        <w:rPr>
          <w:rFonts w:ascii="宋体" w:hAnsi="宋体"/>
          <w:kern w:val="0"/>
          <w:sz w:val="24"/>
        </w:rPr>
        <w:t>（7）</w:t>
      </w:r>
      <w:r>
        <w:rPr>
          <w:rFonts w:hint="eastAsia" w:ascii="宋体" w:hAnsi="宋体"/>
          <w:kern w:val="0"/>
          <w:sz w:val="24"/>
        </w:rPr>
        <w:t>其他：</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sz w:val="24"/>
        </w:rPr>
      </w:pPr>
      <w:r>
        <w:rPr>
          <w:rFonts w:ascii="宋体" w:hAnsi="宋体"/>
          <w:sz w:val="24"/>
        </w:rPr>
        <w:t>16.1.3 因发包人违约解除合同</w:t>
      </w:r>
    </w:p>
    <w:p>
      <w:pPr>
        <w:autoSpaceDE w:val="0"/>
        <w:autoSpaceDN w:val="0"/>
        <w:adjustRightInd w:val="0"/>
        <w:spacing w:line="360" w:lineRule="exact"/>
        <w:ind w:firstLine="480"/>
        <w:jc w:val="left"/>
        <w:rPr>
          <w:rFonts w:ascii="宋体" w:hAnsi="宋体"/>
          <w:kern w:val="0"/>
          <w:sz w:val="24"/>
        </w:rPr>
      </w:pPr>
      <w:r>
        <w:rPr>
          <w:rFonts w:ascii="宋体" w:hAnsi="宋体"/>
          <w:kern w:val="0"/>
          <w:sz w:val="24"/>
        </w:rPr>
        <w:t>承包人按16.1.1项</w:t>
      </w:r>
      <w:r>
        <w:rPr>
          <w:rFonts w:hint="eastAsia" w:ascii="宋体" w:hAnsi="宋体"/>
          <w:kern w:val="0"/>
          <w:sz w:val="24"/>
        </w:rPr>
        <w:t>〔</w:t>
      </w:r>
      <w:r>
        <w:rPr>
          <w:rFonts w:ascii="宋体" w:hAnsi="宋体"/>
          <w:kern w:val="0"/>
          <w:sz w:val="24"/>
        </w:rPr>
        <w:t>发包人违约的情形</w:t>
      </w:r>
      <w:r>
        <w:rPr>
          <w:rFonts w:hint="eastAsia" w:ascii="宋体" w:hAnsi="宋体"/>
          <w:kern w:val="0"/>
          <w:sz w:val="24"/>
        </w:rPr>
        <w:t>〕</w:t>
      </w:r>
      <w:r>
        <w:rPr>
          <w:rFonts w:ascii="宋体" w:hAnsi="宋体"/>
          <w:kern w:val="0"/>
          <w:sz w:val="24"/>
        </w:rPr>
        <w:t>约定暂停施工满</w:t>
      </w:r>
      <w:r>
        <w:rPr>
          <w:rFonts w:hint="eastAsia" w:ascii="宋体" w:hAnsi="宋体"/>
          <w:kern w:val="0"/>
          <w:sz w:val="24"/>
          <w:u w:val="single"/>
        </w:rPr>
        <w:t>60</w:t>
      </w:r>
      <w:r>
        <w:rPr>
          <w:rFonts w:ascii="宋体" w:hAnsi="宋体"/>
          <w:kern w:val="0"/>
          <w:sz w:val="24"/>
        </w:rPr>
        <w:t>天后发包人仍不纠正其违约行为并致使合同目的不能实现的，承包人有权解除合同。</w:t>
      </w:r>
    </w:p>
    <w:p>
      <w:pPr>
        <w:pStyle w:val="7"/>
        <w:ind w:firstLine="420"/>
        <w:rPr>
          <w:bCs w:val="0"/>
        </w:rPr>
      </w:pPr>
      <w:bookmarkStart w:id="1045" w:name="_Toc18683348"/>
      <w:r>
        <w:rPr>
          <w:bCs w:val="0"/>
        </w:rPr>
        <w:t>16.2 承包人违约</w:t>
      </w:r>
      <w:bookmarkEnd w:id="1045"/>
    </w:p>
    <w:p>
      <w:pPr>
        <w:spacing w:line="360" w:lineRule="exact"/>
        <w:ind w:firstLine="480"/>
        <w:jc w:val="left"/>
        <w:rPr>
          <w:rFonts w:ascii="宋体" w:hAnsi="宋体"/>
          <w:kern w:val="0"/>
          <w:sz w:val="24"/>
        </w:rPr>
      </w:pPr>
      <w:r>
        <w:rPr>
          <w:rFonts w:hint="eastAsia" w:ascii="宋体" w:hAnsi="宋体"/>
          <w:kern w:val="0"/>
          <w:sz w:val="24"/>
        </w:rPr>
        <w:t>16.2.1  承包人质量违约责任：</w:t>
      </w:r>
    </w:p>
    <w:p>
      <w:pPr>
        <w:spacing w:line="360" w:lineRule="exact"/>
        <w:ind w:firstLine="480"/>
        <w:jc w:val="left"/>
        <w:rPr>
          <w:rFonts w:ascii="宋体" w:hAnsi="宋体"/>
          <w:kern w:val="0"/>
          <w:sz w:val="24"/>
        </w:rPr>
      </w:pPr>
      <w:r>
        <w:rPr>
          <w:rFonts w:hint="eastAsia" w:ascii="宋体" w:hAnsi="宋体"/>
          <w:kern w:val="0"/>
          <w:sz w:val="24"/>
        </w:rPr>
        <w:t>因承包人的原因致使建设工程质量不符合约定的，发包人有权要求承包人在规定期限内无偿修理或者返工、改建。经过修理或者返工、改建后，造成逾期交付的，延误工期不顺延，承包方按合同约定承担违约责任。如承包人不维修也不承担费用，发包人可按合同约定扣除保证金，如质保金不足以支付维修费用的，发包人有权向承包人追偿。</w:t>
      </w:r>
    </w:p>
    <w:p>
      <w:pPr>
        <w:spacing w:line="360" w:lineRule="exact"/>
        <w:ind w:firstLine="480"/>
        <w:jc w:val="left"/>
        <w:rPr>
          <w:rFonts w:ascii="宋体" w:hAnsi="宋体"/>
          <w:kern w:val="0"/>
          <w:sz w:val="24"/>
        </w:rPr>
      </w:pPr>
      <w:r>
        <w:rPr>
          <w:rFonts w:hint="eastAsia" w:ascii="宋体" w:hAnsi="宋体"/>
          <w:kern w:val="0"/>
          <w:sz w:val="24"/>
        </w:rPr>
        <w:t>16.2.2承包人其他违约责任：</w:t>
      </w:r>
    </w:p>
    <w:p>
      <w:pPr>
        <w:spacing w:line="360" w:lineRule="exact"/>
        <w:ind w:firstLine="480"/>
        <w:jc w:val="left"/>
        <w:rPr>
          <w:rFonts w:ascii="宋体" w:hAnsi="宋体"/>
          <w:kern w:val="0"/>
          <w:sz w:val="24"/>
        </w:rPr>
      </w:pPr>
      <w:r>
        <w:rPr>
          <w:rFonts w:hint="eastAsia" w:ascii="宋体" w:hAnsi="宋体"/>
          <w:kern w:val="0"/>
          <w:sz w:val="24"/>
        </w:rPr>
        <w:t>有下列情形之一的，发包人有权解除合同，同时有权要求承包人支付合同价款的%作为违约金，违约金不足以弥补发包人损失的，发包人有权就不足部分主张赔偿。</w:t>
      </w:r>
    </w:p>
    <w:p>
      <w:pPr>
        <w:spacing w:line="360" w:lineRule="exact"/>
        <w:ind w:firstLine="480"/>
        <w:jc w:val="left"/>
        <w:rPr>
          <w:rFonts w:ascii="宋体" w:hAnsi="宋体"/>
          <w:kern w:val="0"/>
          <w:sz w:val="24"/>
        </w:rPr>
      </w:pPr>
      <w:r>
        <w:rPr>
          <w:rFonts w:hint="eastAsia" w:ascii="宋体" w:hAnsi="宋体"/>
          <w:kern w:val="0"/>
          <w:sz w:val="24"/>
        </w:rPr>
        <w:t>（1）承包人不具有履行本合同所需相应资质的；</w:t>
      </w:r>
    </w:p>
    <w:p>
      <w:pPr>
        <w:spacing w:line="360" w:lineRule="exact"/>
        <w:ind w:firstLine="480"/>
        <w:jc w:val="left"/>
        <w:rPr>
          <w:rFonts w:ascii="宋体" w:hAnsi="宋体"/>
          <w:kern w:val="0"/>
          <w:sz w:val="24"/>
        </w:rPr>
      </w:pPr>
      <w:r>
        <w:rPr>
          <w:rFonts w:hint="eastAsia" w:ascii="宋体" w:hAnsi="宋体"/>
          <w:kern w:val="0"/>
          <w:sz w:val="24"/>
        </w:rPr>
        <w:t>（2）未经发包人书面同意，承包人将该工程转包或者违法分包的；</w:t>
      </w:r>
    </w:p>
    <w:p>
      <w:pPr>
        <w:spacing w:line="360" w:lineRule="exact"/>
        <w:ind w:firstLine="480"/>
        <w:jc w:val="left"/>
        <w:rPr>
          <w:rFonts w:ascii="宋体" w:hAnsi="宋体"/>
          <w:kern w:val="0"/>
          <w:sz w:val="24"/>
        </w:rPr>
      </w:pPr>
      <w:r>
        <w:rPr>
          <w:rFonts w:hint="eastAsia" w:ascii="宋体" w:hAnsi="宋体"/>
          <w:kern w:val="0"/>
          <w:sz w:val="24"/>
        </w:rPr>
        <w:t>（3）竣工验收不合格的；</w:t>
      </w:r>
    </w:p>
    <w:p>
      <w:pPr>
        <w:spacing w:line="360" w:lineRule="exact"/>
        <w:ind w:firstLine="480"/>
        <w:jc w:val="left"/>
        <w:rPr>
          <w:rFonts w:ascii="宋体" w:hAnsi="宋体"/>
          <w:kern w:val="0"/>
          <w:sz w:val="24"/>
        </w:rPr>
      </w:pPr>
      <w:r>
        <w:rPr>
          <w:rFonts w:hint="eastAsia" w:ascii="宋体" w:hAnsi="宋体"/>
          <w:kern w:val="0"/>
          <w:sz w:val="24"/>
        </w:rPr>
        <w:t>（4）因承包人原因引起的暂停施工，承包人应承担由此增加的费用和延误的工期，若承包人拖延天仍未复工的；</w:t>
      </w:r>
    </w:p>
    <w:p>
      <w:pPr>
        <w:spacing w:line="360" w:lineRule="exact"/>
        <w:ind w:firstLine="480"/>
        <w:jc w:val="left"/>
        <w:rPr>
          <w:rFonts w:ascii="宋体" w:hAnsi="宋体"/>
          <w:kern w:val="0"/>
          <w:sz w:val="24"/>
        </w:rPr>
      </w:pPr>
      <w:r>
        <w:rPr>
          <w:rFonts w:hint="eastAsia" w:ascii="宋体" w:hAnsi="宋体"/>
          <w:kern w:val="0"/>
          <w:sz w:val="24"/>
        </w:rPr>
        <w:t>（5）承包人逾期竣工超过天的；</w:t>
      </w:r>
    </w:p>
    <w:p>
      <w:pPr>
        <w:spacing w:line="360" w:lineRule="exact"/>
        <w:ind w:firstLine="480"/>
        <w:jc w:val="left"/>
        <w:rPr>
          <w:rFonts w:ascii="宋体" w:hAnsi="宋体"/>
          <w:kern w:val="0"/>
          <w:sz w:val="24"/>
        </w:rPr>
      </w:pPr>
      <w:r>
        <w:rPr>
          <w:rFonts w:hint="eastAsia" w:ascii="宋体" w:hAnsi="宋体"/>
          <w:kern w:val="0"/>
          <w:sz w:val="24"/>
        </w:rPr>
        <w:t>（6）承包人违反合同约定采购和使用不合格的材料和工程设备的；</w:t>
      </w:r>
    </w:p>
    <w:p>
      <w:pPr>
        <w:spacing w:line="360" w:lineRule="exact"/>
        <w:ind w:firstLine="480"/>
        <w:jc w:val="left"/>
        <w:rPr>
          <w:rFonts w:ascii="宋体" w:hAnsi="宋体"/>
          <w:kern w:val="0"/>
          <w:sz w:val="24"/>
        </w:rPr>
      </w:pPr>
      <w:r>
        <w:rPr>
          <w:rFonts w:hint="eastAsia" w:ascii="宋体" w:hAnsi="宋体"/>
          <w:kern w:val="0"/>
          <w:sz w:val="24"/>
        </w:rPr>
        <w:t>（7）承包人在缺陷责任期及保修期内，未能在合同约定的期限内对工程缺陷进行修复，或拒绝按发包人要求进行修复的；</w:t>
      </w:r>
    </w:p>
    <w:p>
      <w:pPr>
        <w:spacing w:line="360" w:lineRule="exact"/>
        <w:ind w:firstLine="480"/>
        <w:jc w:val="left"/>
        <w:rPr>
          <w:rFonts w:ascii="宋体" w:hAnsi="宋体"/>
          <w:kern w:val="0"/>
          <w:sz w:val="24"/>
        </w:rPr>
      </w:pPr>
      <w:r>
        <w:rPr>
          <w:rFonts w:hint="eastAsia" w:ascii="宋体" w:hAnsi="宋体"/>
          <w:kern w:val="0"/>
          <w:sz w:val="24"/>
        </w:rPr>
        <w:t>（8）在施工期间发生安全事故的。</w:t>
      </w:r>
    </w:p>
    <w:p>
      <w:pPr>
        <w:spacing w:line="360" w:lineRule="exact"/>
        <w:ind w:firstLine="480"/>
        <w:jc w:val="left"/>
        <w:rPr>
          <w:rFonts w:ascii="宋体" w:hAnsi="宋体"/>
          <w:kern w:val="0"/>
          <w:sz w:val="24"/>
        </w:rPr>
      </w:pPr>
      <w:r>
        <w:rPr>
          <w:rFonts w:hint="eastAsia" w:ascii="宋体" w:hAnsi="宋体"/>
          <w:kern w:val="0"/>
          <w:sz w:val="24"/>
        </w:rPr>
        <w:t>（9）承包人严重违反发包方单位管理制度，发包人要求改正，承包人拒不改正的。</w:t>
      </w:r>
    </w:p>
    <w:p>
      <w:pPr>
        <w:spacing w:line="360" w:lineRule="exact"/>
        <w:ind w:firstLine="480"/>
        <w:jc w:val="left"/>
        <w:rPr>
          <w:rFonts w:ascii="宋体" w:hAnsi="宋体"/>
          <w:kern w:val="0"/>
          <w:sz w:val="24"/>
        </w:rPr>
      </w:pPr>
      <w:r>
        <w:rPr>
          <w:rFonts w:hint="eastAsia" w:ascii="宋体" w:hAnsi="宋体"/>
          <w:kern w:val="0"/>
          <w:sz w:val="24"/>
        </w:rPr>
        <w:t>（10）承包人未在施工现场采取安全防护措施或者未对施工人员进行安全教育培训、未给施工工人配备安全防护装备，经发包人提出改正要求后，仍不改正的。</w:t>
      </w:r>
    </w:p>
    <w:p>
      <w:pPr>
        <w:spacing w:line="360" w:lineRule="exact"/>
        <w:ind w:firstLine="480"/>
        <w:jc w:val="left"/>
        <w:rPr>
          <w:rFonts w:ascii="宋体" w:hAnsi="宋体"/>
          <w:kern w:val="0"/>
          <w:sz w:val="24"/>
        </w:rPr>
      </w:pPr>
      <w:r>
        <w:rPr>
          <w:rFonts w:hint="eastAsia" w:ascii="宋体" w:hAnsi="宋体"/>
          <w:kern w:val="0"/>
          <w:sz w:val="24"/>
        </w:rPr>
        <w:t xml:space="preserve"> （11）承包人未能按照合同约定履行其他义务的。</w:t>
      </w:r>
    </w:p>
    <w:p>
      <w:pPr>
        <w:spacing w:line="360" w:lineRule="exact"/>
        <w:ind w:firstLine="480"/>
        <w:jc w:val="left"/>
        <w:rPr>
          <w:rFonts w:ascii="宋体" w:hAnsi="宋体"/>
          <w:kern w:val="0"/>
          <w:sz w:val="24"/>
        </w:rPr>
      </w:pPr>
      <w:r>
        <w:rPr>
          <w:rFonts w:hint="eastAsia" w:ascii="宋体" w:hAnsi="宋体"/>
          <w:kern w:val="0"/>
          <w:sz w:val="24"/>
        </w:rPr>
        <w:t>（12）发包人按照合同约定解除本合同后，乙方应在</w:t>
      </w:r>
      <w:r>
        <w:rPr>
          <w:rFonts w:hint="eastAsia" w:ascii="宋体" w:hAnsi="宋体"/>
          <w:kern w:val="0"/>
          <w:sz w:val="24"/>
          <w:u w:val="single"/>
        </w:rPr>
        <w:t xml:space="preserve">  14   </w:t>
      </w:r>
      <w:r>
        <w:rPr>
          <w:rFonts w:hint="eastAsia" w:ascii="宋体" w:hAnsi="宋体"/>
          <w:kern w:val="0"/>
          <w:sz w:val="24"/>
        </w:rPr>
        <w:t>日内撤离施工现场，并协助发包人与第三方进行交接工作，发包人按照承包人实际完成的合格的工程量支付承包人费用，承包方所购买的设备设施、材料，双方经过协商后进行处置。如承包人未按约定退出施工现场的，发包方有权要求承包人按照每日的元的标准支付罚金。</w:t>
      </w:r>
    </w:p>
    <w:p>
      <w:pPr>
        <w:spacing w:line="360" w:lineRule="exact"/>
        <w:ind w:firstLine="480"/>
        <w:jc w:val="left"/>
        <w:rPr>
          <w:rFonts w:ascii="宋体" w:hAnsi="宋体"/>
          <w:kern w:val="0"/>
          <w:sz w:val="24"/>
        </w:rPr>
      </w:pPr>
    </w:p>
    <w:p>
      <w:pPr>
        <w:spacing w:line="360" w:lineRule="exact"/>
        <w:ind w:firstLine="480"/>
        <w:jc w:val="left"/>
        <w:rPr>
          <w:rFonts w:ascii="宋体" w:hAnsi="宋体"/>
          <w:kern w:val="0"/>
          <w:sz w:val="24"/>
        </w:rPr>
      </w:pPr>
      <w:r>
        <w:rPr>
          <w:rFonts w:hint="eastAsia" w:ascii="宋体" w:hAnsi="宋体"/>
          <w:kern w:val="0"/>
          <w:sz w:val="24"/>
        </w:rPr>
        <w:t>16.2.3 因承包人违约解除合同</w:t>
      </w:r>
    </w:p>
    <w:p>
      <w:pPr>
        <w:spacing w:line="360" w:lineRule="exact"/>
        <w:ind w:firstLine="480"/>
        <w:jc w:val="left"/>
        <w:rPr>
          <w:rFonts w:ascii="宋体" w:hAnsi="宋体"/>
          <w:kern w:val="0"/>
          <w:sz w:val="24"/>
        </w:rPr>
      </w:pPr>
      <w:r>
        <w:rPr>
          <w:rFonts w:hint="eastAsia" w:ascii="宋体" w:hAnsi="宋体"/>
          <w:kern w:val="0"/>
          <w:sz w:val="24"/>
        </w:rPr>
        <w:t>关于承包人违约解除合同的特别约定：</w:t>
      </w:r>
      <w:r>
        <w:rPr>
          <w:rFonts w:hint="eastAsia" w:ascii="宋体" w:hAnsi="宋体"/>
          <w:kern w:val="0"/>
          <w:sz w:val="24"/>
          <w:u w:val="single"/>
        </w:rPr>
        <w:t xml:space="preserve">  同上 </w:t>
      </w:r>
      <w:r>
        <w:rPr>
          <w:rFonts w:hint="eastAsia" w:ascii="宋体" w:hAnsi="宋体"/>
          <w:kern w:val="0"/>
          <w:sz w:val="24"/>
        </w:rPr>
        <w:t xml:space="preserve"> 。</w:t>
      </w:r>
    </w:p>
    <w:p>
      <w:pPr>
        <w:pStyle w:val="6"/>
        <w:ind w:left="118" w:leftChars="0" w:hanging="118" w:firstLineChars="0"/>
      </w:pPr>
      <w:r>
        <w:rPr>
          <w:rFonts w:hint="eastAsia"/>
          <w:kern w:val="0"/>
          <w:sz w:val="24"/>
          <w:szCs w:val="24"/>
        </w:rPr>
        <w:t>发包人继续使用承包人在施工现场的材料、设备、临时工程、承包人文件和由承包人或以其名义编制的其他文件的费用承担方式：</w:t>
      </w:r>
      <w:r>
        <w:rPr>
          <w:rFonts w:hint="eastAsia"/>
          <w:kern w:val="0"/>
          <w:sz w:val="24"/>
          <w:szCs w:val="24"/>
          <w:u w:val="single"/>
        </w:rPr>
        <w:t xml:space="preserve">  发包支付费用   </w:t>
      </w:r>
      <w:r>
        <w:rPr>
          <w:rFonts w:hint="eastAsia"/>
          <w:kern w:val="0"/>
          <w:sz w:val="24"/>
          <w:szCs w:val="24"/>
        </w:rPr>
        <w:t xml:space="preserve"> 。</w:t>
      </w:r>
      <w:bookmarkStart w:id="1046" w:name="_Toc18683349"/>
    </w:p>
    <w:p>
      <w:pPr>
        <w:pStyle w:val="6"/>
        <w:ind w:left="103" w:leftChars="0" w:firstLineChars="0"/>
      </w:pPr>
      <w:r>
        <w:t>17. 不可抗力</w:t>
      </w:r>
      <w:bookmarkEnd w:id="1042"/>
      <w:bookmarkEnd w:id="1046"/>
    </w:p>
    <w:p>
      <w:pPr>
        <w:pStyle w:val="7"/>
        <w:ind w:firstLine="420"/>
        <w:rPr>
          <w:bCs w:val="0"/>
        </w:rPr>
      </w:pPr>
      <w:bookmarkStart w:id="1047" w:name="_Toc18683350"/>
      <w:r>
        <w:rPr>
          <w:bCs w:val="0"/>
        </w:rPr>
        <w:t>17.1 不可抗力的确认</w:t>
      </w:r>
      <w:bookmarkEnd w:id="1047"/>
    </w:p>
    <w:p>
      <w:pPr>
        <w:spacing w:line="360" w:lineRule="exact"/>
        <w:ind w:firstLine="480"/>
        <w:jc w:val="left"/>
        <w:rPr>
          <w:rFonts w:ascii="宋体" w:hAnsi="宋体"/>
          <w:kern w:val="0"/>
          <w:sz w:val="24"/>
          <w:u w:val="single"/>
        </w:rPr>
      </w:pPr>
      <w:r>
        <w:rPr>
          <w:rFonts w:ascii="宋体" w:hAnsi="宋体"/>
          <w:sz w:val="24"/>
        </w:rPr>
        <w:t xml:space="preserve">除通用合同条款约定的不可抗力事件之外，视为不可抗力的其他情形： </w:t>
      </w:r>
      <w:r>
        <w:rPr>
          <w:rFonts w:hint="eastAsia" w:ascii="宋体" w:hAnsi="宋体"/>
          <w:kern w:val="0"/>
          <w:sz w:val="24"/>
          <w:u w:val="single"/>
        </w:rPr>
        <w:t xml:space="preserve">无 </w:t>
      </w:r>
      <w:r>
        <w:rPr>
          <w:rFonts w:ascii="宋体" w:hAnsi="宋体"/>
          <w:kern w:val="0"/>
          <w:sz w:val="24"/>
        </w:rPr>
        <w:t>。</w:t>
      </w:r>
    </w:p>
    <w:p>
      <w:pPr>
        <w:pStyle w:val="7"/>
        <w:ind w:firstLine="420"/>
        <w:rPr>
          <w:bCs w:val="0"/>
        </w:rPr>
      </w:pPr>
      <w:bookmarkStart w:id="1048" w:name="_Toc18683351"/>
      <w:r>
        <w:rPr>
          <w:bCs w:val="0"/>
        </w:rPr>
        <w:t>17.</w:t>
      </w:r>
      <w:r>
        <w:rPr>
          <w:rFonts w:hint="eastAsia"/>
          <w:bCs w:val="0"/>
        </w:rPr>
        <w:t>2</w:t>
      </w:r>
      <w:r>
        <w:rPr>
          <w:bCs w:val="0"/>
        </w:rPr>
        <w:t xml:space="preserve"> 因不可抗力解除合同</w:t>
      </w:r>
      <w:bookmarkEnd w:id="1048"/>
    </w:p>
    <w:p>
      <w:pPr>
        <w:spacing w:line="360" w:lineRule="exact"/>
        <w:ind w:firstLine="480"/>
        <w:jc w:val="left"/>
        <w:rPr>
          <w:rFonts w:ascii="宋体" w:hAnsi="宋体"/>
          <w:sz w:val="24"/>
        </w:rPr>
      </w:pPr>
      <w:r>
        <w:rPr>
          <w:rFonts w:ascii="宋体" w:hAnsi="宋体"/>
          <w:sz w:val="24"/>
        </w:rPr>
        <w:t>合同解除后，发包人应在商定或确定发包人应支付款项后</w:t>
      </w:r>
      <w:r>
        <w:rPr>
          <w:rFonts w:hint="eastAsia" w:ascii="宋体" w:hAnsi="宋体"/>
          <w:sz w:val="24"/>
          <w:u w:val="single"/>
        </w:rPr>
        <w:t>14</w:t>
      </w:r>
      <w:r>
        <w:rPr>
          <w:rFonts w:ascii="宋体" w:hAnsi="宋体"/>
          <w:sz w:val="24"/>
        </w:rPr>
        <w:t>天内完成款项的支付。</w:t>
      </w:r>
    </w:p>
    <w:p>
      <w:pPr>
        <w:pStyle w:val="6"/>
        <w:ind w:left="103" w:leftChars="0" w:firstLineChars="0"/>
      </w:pPr>
      <w:bookmarkStart w:id="1049" w:name="_Toc18683352"/>
      <w:r>
        <w:t>18. 保险</w:t>
      </w:r>
      <w:bookmarkEnd w:id="1049"/>
    </w:p>
    <w:bookmarkEnd w:id="1043"/>
    <w:p>
      <w:pPr>
        <w:pStyle w:val="7"/>
        <w:ind w:firstLine="420"/>
        <w:rPr>
          <w:bCs w:val="0"/>
        </w:rPr>
      </w:pPr>
      <w:bookmarkStart w:id="1050" w:name="_Toc18683353"/>
      <w:r>
        <w:rPr>
          <w:bCs w:val="0"/>
        </w:rPr>
        <w:t>18.1 工程保险</w:t>
      </w:r>
      <w:bookmarkEnd w:id="1050"/>
    </w:p>
    <w:p>
      <w:pPr>
        <w:spacing w:line="360" w:lineRule="exact"/>
        <w:ind w:firstLine="480"/>
        <w:jc w:val="left"/>
        <w:rPr>
          <w:rFonts w:ascii="宋体" w:hAnsi="宋体"/>
          <w:sz w:val="24"/>
        </w:rPr>
      </w:pPr>
      <w:r>
        <w:rPr>
          <w:rFonts w:ascii="宋体" w:hAnsi="宋体"/>
          <w:sz w:val="24"/>
        </w:rPr>
        <w:t>关于工程保险的特别约定：</w:t>
      </w:r>
      <w:r>
        <w:rPr>
          <w:rFonts w:hint="eastAsia" w:ascii="宋体" w:hAnsi="宋体"/>
          <w:kern w:val="0"/>
          <w:sz w:val="24"/>
          <w:u w:val="single"/>
        </w:rPr>
        <w:t>建设工程和场地内发包人自有人员及第三者人员生命财产保险（受益人为发包人），此部分保险费已包含在投标报价措施费中；承包人必须为从事危险作业的职工办理意外伤害保险</w:t>
      </w:r>
      <w:r>
        <w:rPr>
          <w:rFonts w:ascii="宋体" w:hAnsi="宋体"/>
          <w:kern w:val="0"/>
          <w:sz w:val="24"/>
        </w:rPr>
        <w:t>。</w:t>
      </w:r>
    </w:p>
    <w:p>
      <w:pPr>
        <w:pStyle w:val="7"/>
        <w:ind w:firstLine="420"/>
        <w:rPr>
          <w:bCs w:val="0"/>
        </w:rPr>
      </w:pPr>
      <w:bookmarkStart w:id="1051" w:name="_Toc18683354"/>
      <w:r>
        <w:rPr>
          <w:bCs w:val="0"/>
        </w:rPr>
        <w:t>18.</w:t>
      </w:r>
      <w:r>
        <w:rPr>
          <w:rFonts w:hint="eastAsia"/>
          <w:bCs w:val="0"/>
        </w:rPr>
        <w:t>2</w:t>
      </w:r>
      <w:r>
        <w:rPr>
          <w:bCs w:val="0"/>
        </w:rPr>
        <w:t xml:space="preserve"> 其他保险</w:t>
      </w:r>
      <w:bookmarkEnd w:id="1051"/>
    </w:p>
    <w:p>
      <w:pPr>
        <w:spacing w:line="360" w:lineRule="exact"/>
        <w:ind w:firstLine="480"/>
        <w:jc w:val="left"/>
        <w:rPr>
          <w:rFonts w:ascii="宋体" w:hAnsi="宋体"/>
          <w:kern w:val="0"/>
          <w:sz w:val="24"/>
        </w:rPr>
      </w:pPr>
      <w:r>
        <w:rPr>
          <w:rFonts w:ascii="宋体" w:hAnsi="宋体"/>
          <w:sz w:val="24"/>
        </w:rPr>
        <w:t>关于其他保险的约定：</w:t>
      </w:r>
      <w:r>
        <w:rPr>
          <w:rFonts w:hint="eastAsia" w:ascii="宋体" w:hAnsi="宋体"/>
          <w:kern w:val="0"/>
          <w:sz w:val="24"/>
          <w:u w:val="single"/>
        </w:rPr>
        <w:t>无</w:t>
      </w:r>
      <w:r>
        <w:rPr>
          <w:rFonts w:ascii="宋体" w:hAnsi="宋体"/>
          <w:kern w:val="0"/>
          <w:sz w:val="24"/>
        </w:rPr>
        <w:t>。</w:t>
      </w:r>
    </w:p>
    <w:p>
      <w:pPr>
        <w:spacing w:line="360" w:lineRule="exact"/>
        <w:ind w:firstLine="480"/>
        <w:jc w:val="left"/>
        <w:rPr>
          <w:rFonts w:ascii="宋体" w:hAnsi="宋体"/>
          <w:kern w:val="0"/>
          <w:sz w:val="24"/>
        </w:rPr>
      </w:pPr>
      <w:r>
        <w:rPr>
          <w:rFonts w:ascii="宋体" w:hAnsi="宋体"/>
          <w:sz w:val="24"/>
        </w:rPr>
        <w:t>承包人是否应为其施工设备等办理财产保险：</w:t>
      </w:r>
      <w:r>
        <w:rPr>
          <w:rFonts w:hint="eastAsia" w:ascii="宋体" w:hAnsi="宋体"/>
          <w:sz w:val="24"/>
          <w:u w:val="single"/>
        </w:rPr>
        <w:t>是</w:t>
      </w:r>
      <w:r>
        <w:rPr>
          <w:rFonts w:ascii="宋体" w:hAnsi="宋体"/>
          <w:sz w:val="24"/>
        </w:rPr>
        <w:t>。</w:t>
      </w:r>
    </w:p>
    <w:bookmarkEnd w:id="1017"/>
    <w:bookmarkEnd w:id="1018"/>
    <w:bookmarkEnd w:id="1019"/>
    <w:bookmarkEnd w:id="1020"/>
    <w:bookmarkEnd w:id="1021"/>
    <w:bookmarkEnd w:id="1022"/>
    <w:bookmarkEnd w:id="1023"/>
    <w:bookmarkEnd w:id="1024"/>
    <w:bookmarkEnd w:id="1025"/>
    <w:bookmarkEnd w:id="1026"/>
    <w:bookmarkEnd w:id="1027"/>
    <w:bookmarkEnd w:id="1028"/>
    <w:p>
      <w:pPr>
        <w:pStyle w:val="6"/>
        <w:ind w:left="103" w:leftChars="0" w:firstLineChars="0"/>
      </w:pPr>
      <w:bookmarkStart w:id="1052" w:name="_Toc18683355"/>
      <w:r>
        <w:rPr>
          <w:rFonts w:hint="eastAsia"/>
        </w:rPr>
        <w:t>19</w:t>
      </w:r>
      <w:r>
        <w:t>. 争议解决</w:t>
      </w:r>
      <w:bookmarkEnd w:id="1052"/>
    </w:p>
    <w:bookmarkEnd w:id="1029"/>
    <w:bookmarkEnd w:id="1030"/>
    <w:bookmarkEnd w:id="1031"/>
    <w:p>
      <w:pPr>
        <w:pStyle w:val="7"/>
        <w:ind w:firstLine="420"/>
        <w:rPr>
          <w:bCs w:val="0"/>
        </w:rPr>
      </w:pPr>
      <w:bookmarkStart w:id="1053" w:name="_Toc18683356"/>
      <w:r>
        <w:rPr>
          <w:rFonts w:hint="eastAsia"/>
          <w:bCs w:val="0"/>
        </w:rPr>
        <w:t>19</w:t>
      </w:r>
      <w:r>
        <w:rPr>
          <w:bCs w:val="0"/>
        </w:rPr>
        <w:t>.</w:t>
      </w:r>
      <w:r>
        <w:rPr>
          <w:rFonts w:hint="eastAsia"/>
          <w:bCs w:val="0"/>
        </w:rPr>
        <w:t>1</w:t>
      </w:r>
      <w:r>
        <w:rPr>
          <w:bCs w:val="0"/>
        </w:rPr>
        <w:t>仲裁或诉讼</w:t>
      </w:r>
      <w:bookmarkEnd w:id="1032"/>
      <w:bookmarkEnd w:id="1053"/>
    </w:p>
    <w:p>
      <w:pPr>
        <w:spacing w:after="120" w:line="360" w:lineRule="exact"/>
        <w:ind w:firstLine="480"/>
        <w:rPr>
          <w:rFonts w:ascii="宋体" w:hAnsi="宋体"/>
          <w:sz w:val="24"/>
        </w:rPr>
      </w:pPr>
      <w:r>
        <w:rPr>
          <w:rFonts w:ascii="宋体" w:hAnsi="宋体"/>
          <w:sz w:val="24"/>
        </w:rPr>
        <w:t>因合同及合同有关事项发生的争议，按下列第</w:t>
      </w:r>
      <w:r>
        <w:rPr>
          <w:rFonts w:hint="eastAsia" w:ascii="宋体" w:hAnsi="宋体"/>
          <w:sz w:val="24"/>
          <w:u w:val="single"/>
        </w:rPr>
        <w:t>（2）</w:t>
      </w:r>
      <w:r>
        <w:rPr>
          <w:rFonts w:ascii="宋体" w:hAnsi="宋体"/>
          <w:sz w:val="24"/>
        </w:rPr>
        <w:t>种方式</w:t>
      </w:r>
      <w:r>
        <w:rPr>
          <w:rFonts w:hint="eastAsia" w:ascii="宋体" w:hAnsi="宋体"/>
          <w:sz w:val="24"/>
        </w:rPr>
        <w:t>解</w:t>
      </w:r>
      <w:r>
        <w:rPr>
          <w:rFonts w:ascii="宋体" w:hAnsi="宋体"/>
          <w:sz w:val="24"/>
        </w:rPr>
        <w:t>决：</w:t>
      </w:r>
    </w:p>
    <w:p>
      <w:pPr>
        <w:spacing w:line="360" w:lineRule="exact"/>
        <w:ind w:firstLine="480"/>
        <w:jc w:val="left"/>
        <w:rPr>
          <w:rFonts w:ascii="宋体" w:hAnsi="宋体"/>
          <w:sz w:val="24"/>
        </w:rPr>
      </w:pPr>
      <w:r>
        <w:rPr>
          <w:rFonts w:ascii="宋体" w:hAnsi="宋体"/>
          <w:sz w:val="24"/>
        </w:rPr>
        <w:t>（1）向仲裁委员会申请仲裁；</w:t>
      </w:r>
    </w:p>
    <w:p>
      <w:pPr>
        <w:spacing w:line="360" w:lineRule="exact"/>
        <w:ind w:firstLine="480"/>
        <w:jc w:val="left"/>
        <w:rPr>
          <w:rFonts w:ascii="宋体" w:hAnsi="宋体"/>
          <w:sz w:val="24"/>
        </w:rPr>
      </w:pPr>
      <w:r>
        <w:rPr>
          <w:rFonts w:ascii="宋体" w:hAnsi="宋体"/>
          <w:sz w:val="24"/>
        </w:rPr>
        <w:t>（2）向</w:t>
      </w:r>
      <w:r>
        <w:rPr>
          <w:rFonts w:hint="eastAsia" w:ascii="宋体" w:hAnsi="宋体"/>
          <w:sz w:val="24"/>
          <w:u w:val="single"/>
        </w:rPr>
        <w:t>发包人所在地</w:t>
      </w:r>
      <w:r>
        <w:rPr>
          <w:rFonts w:ascii="宋体" w:hAnsi="宋体"/>
          <w:sz w:val="24"/>
        </w:rPr>
        <w:t>人民法院起诉。</w:t>
      </w:r>
      <w:bookmarkEnd w:id="1033"/>
      <w:bookmarkEnd w:id="1034"/>
      <w:bookmarkEnd w:id="1035"/>
      <w:bookmarkEnd w:id="1036"/>
      <w:bookmarkEnd w:id="1037"/>
      <w:bookmarkEnd w:id="1038"/>
    </w:p>
    <w:p>
      <w:pPr>
        <w:spacing w:line="360" w:lineRule="exact"/>
        <w:ind w:firstLine="480"/>
        <w:jc w:val="left"/>
        <w:rPr>
          <w:rFonts w:ascii="宋体" w:hAnsi="宋体"/>
          <w:sz w:val="24"/>
        </w:rPr>
      </w:pPr>
      <w:r>
        <w:rPr>
          <w:rFonts w:hint="eastAsia" w:ascii="宋体" w:hAnsi="宋体"/>
          <w:sz w:val="24"/>
        </w:rPr>
        <w:t>20.补充条款</w:t>
      </w:r>
    </w:p>
    <w:p>
      <w:pPr>
        <w:spacing w:line="360" w:lineRule="exact"/>
        <w:ind w:firstLine="480"/>
        <w:jc w:val="left"/>
        <w:rPr>
          <w:rFonts w:ascii="宋体" w:hAnsi="宋体"/>
          <w:sz w:val="24"/>
        </w:rPr>
      </w:pPr>
      <w:r>
        <w:rPr>
          <w:rFonts w:hint="eastAsia" w:ascii="宋体" w:hAnsi="宋体"/>
          <w:sz w:val="24"/>
        </w:rPr>
        <w:t>20.1本工程竣工验收合格后（需经过专业部门验收的工程应提供该专业部门的验收报告复印件），承包方提供合同、结算书、结算书软件版（广联达）、结算编制说明、竣工图（须加盖竣工图章）（纸质及CAD版）、材料设备明细表（品牌、型号、规格、供应商座机电话）一式三份，发包方进行外审，结算金额以审计部门审计结果为准，承包方支付审计费，送审日期以承包方资料最后送齐日为准；</w:t>
      </w:r>
    </w:p>
    <w:p>
      <w:pPr>
        <w:spacing w:line="360" w:lineRule="exact"/>
        <w:ind w:firstLine="480"/>
        <w:jc w:val="left"/>
        <w:rPr>
          <w:rFonts w:ascii="宋体" w:hAnsi="宋体"/>
          <w:sz w:val="24"/>
        </w:rPr>
      </w:pPr>
      <w:r>
        <w:rPr>
          <w:rFonts w:hint="eastAsia" w:ascii="宋体" w:hAnsi="宋体"/>
          <w:sz w:val="24"/>
        </w:rPr>
        <w:t>20.2 工程竣工时承包方需提交质量环保检测报告。</w:t>
      </w:r>
    </w:p>
    <w:p>
      <w:pPr>
        <w:spacing w:line="360" w:lineRule="exact"/>
        <w:ind w:firstLine="480"/>
        <w:jc w:val="left"/>
        <w:rPr>
          <w:rFonts w:ascii="宋体" w:hAnsi="宋体"/>
          <w:sz w:val="24"/>
        </w:rPr>
      </w:pPr>
      <w:r>
        <w:rPr>
          <w:rFonts w:hint="eastAsia" w:ascii="宋体" w:hAnsi="宋体"/>
          <w:sz w:val="24"/>
        </w:rPr>
        <w:t>20.3 附件为本合同不可分割的一部分，与本合同具有同等法律效力。</w:t>
      </w:r>
    </w:p>
    <w:p>
      <w:pPr>
        <w:spacing w:line="360" w:lineRule="exact"/>
        <w:ind w:firstLine="480"/>
        <w:jc w:val="left"/>
        <w:rPr>
          <w:rFonts w:ascii="宋体" w:hAnsi="宋体"/>
          <w:sz w:val="24"/>
        </w:rPr>
      </w:pPr>
      <w:r>
        <w:rPr>
          <w:rFonts w:hint="eastAsia" w:ascii="宋体" w:hAnsi="宋体"/>
          <w:sz w:val="24"/>
        </w:rPr>
        <w:t>20.4 合同中未尽事宜，由双方协商解决，或签订补充协议，补充协议与主合同具有同等法律效力。</w:t>
      </w:r>
    </w:p>
    <w:p>
      <w:pPr>
        <w:spacing w:line="360" w:lineRule="exact"/>
        <w:ind w:firstLine="480"/>
        <w:jc w:val="left"/>
        <w:rPr>
          <w:rFonts w:ascii="宋体" w:hAnsi="宋体"/>
          <w:sz w:val="24"/>
        </w:rPr>
      </w:pPr>
      <w:r>
        <w:rPr>
          <w:rFonts w:hint="eastAsia" w:ascii="宋体" w:hAnsi="宋体"/>
          <w:sz w:val="24"/>
        </w:rPr>
        <w:t>20.5 承包方所采购的材料、设备如有质量问题（不合格）一切由承包方负责，因此给发包方造成的损失，由承包方承担相应的法律责任并赔偿全部损失。</w:t>
      </w:r>
    </w:p>
    <w:p>
      <w:pPr>
        <w:spacing w:line="360" w:lineRule="exact"/>
        <w:ind w:firstLine="480"/>
        <w:jc w:val="left"/>
        <w:rPr>
          <w:rFonts w:ascii="宋体" w:hAnsi="宋体"/>
          <w:sz w:val="24"/>
        </w:rPr>
      </w:pPr>
      <w:r>
        <w:rPr>
          <w:rFonts w:hint="eastAsia" w:ascii="宋体" w:hAnsi="宋体"/>
          <w:sz w:val="24"/>
        </w:rPr>
        <w:t>20.6 如果发包方支付的工程预付款、工程进度款大于审定金额，承包方应在收到审计报告之日起十日内退还多付工程款。</w:t>
      </w:r>
    </w:p>
    <w:p>
      <w:pPr>
        <w:pStyle w:val="6"/>
        <w:ind w:left="103" w:leftChars="0" w:firstLineChars="0"/>
      </w:pPr>
      <w:r>
        <w:br w:type="page"/>
      </w:r>
      <w:bookmarkStart w:id="1054" w:name="_Toc18683357"/>
      <w:r>
        <w:t>附件</w:t>
      </w:r>
      <w:bookmarkEnd w:id="1054"/>
    </w:p>
    <w:p>
      <w:pPr>
        <w:pStyle w:val="6"/>
        <w:ind w:left="103" w:leftChars="0" w:firstLineChars="0"/>
      </w:pPr>
      <w:bookmarkStart w:id="1055" w:name="_Toc18683358"/>
      <w:r>
        <w:rPr>
          <w:rFonts w:hint="eastAsia"/>
        </w:rPr>
        <w:t>协议书附件：</w:t>
      </w:r>
      <w:bookmarkEnd w:id="1055"/>
    </w:p>
    <w:p>
      <w:pPr>
        <w:pStyle w:val="7"/>
        <w:ind w:firstLine="420"/>
        <w:rPr>
          <w:bCs w:val="0"/>
        </w:rPr>
      </w:pPr>
      <w:bookmarkStart w:id="1056" w:name="_Toc18683359"/>
      <w:r>
        <w:rPr>
          <w:bCs w:val="0"/>
        </w:rPr>
        <w:t>附件1：承包人承揽工程项目一览表</w:t>
      </w:r>
      <w:bookmarkEnd w:id="1056"/>
    </w:p>
    <w:p>
      <w:pPr>
        <w:pStyle w:val="6"/>
        <w:ind w:left="103" w:leftChars="0" w:firstLineChars="0"/>
      </w:pPr>
      <w:bookmarkStart w:id="1057" w:name="_Toc18683360"/>
      <w:r>
        <w:rPr>
          <w:rFonts w:hint="eastAsia"/>
        </w:rPr>
        <w:t>专用合同条款附件：</w:t>
      </w:r>
      <w:bookmarkEnd w:id="1057"/>
    </w:p>
    <w:p>
      <w:pPr>
        <w:pStyle w:val="7"/>
        <w:ind w:firstLine="420"/>
        <w:rPr>
          <w:bCs w:val="0"/>
        </w:rPr>
      </w:pPr>
      <w:bookmarkStart w:id="1058" w:name="_Toc18683361"/>
      <w:r>
        <w:rPr>
          <w:bCs w:val="0"/>
        </w:rPr>
        <w:t>附件2：发包人供应材料设备一览表</w:t>
      </w:r>
      <w:bookmarkEnd w:id="1058"/>
    </w:p>
    <w:p>
      <w:pPr>
        <w:pStyle w:val="7"/>
        <w:ind w:firstLine="420"/>
        <w:rPr>
          <w:bCs w:val="0"/>
        </w:rPr>
      </w:pPr>
      <w:bookmarkStart w:id="1059" w:name="_Toc18683362"/>
      <w:r>
        <w:rPr>
          <w:bCs w:val="0"/>
        </w:rPr>
        <w:t>附件3：</w:t>
      </w:r>
      <w:r>
        <w:rPr>
          <w:rFonts w:hint="eastAsia"/>
          <w:bCs w:val="0"/>
        </w:rPr>
        <w:t>房屋建筑</w:t>
      </w:r>
      <w:r>
        <w:rPr>
          <w:bCs w:val="0"/>
        </w:rPr>
        <w:t>工程质量保修书</w:t>
      </w:r>
      <w:bookmarkEnd w:id="1059"/>
    </w:p>
    <w:p>
      <w:pPr>
        <w:pStyle w:val="7"/>
        <w:ind w:firstLine="420"/>
        <w:rPr>
          <w:bCs w:val="0"/>
        </w:rPr>
      </w:pPr>
      <w:bookmarkStart w:id="1060" w:name="_Toc18683363"/>
      <w:r>
        <w:rPr>
          <w:bCs w:val="0"/>
        </w:rPr>
        <w:t>附件4：主要建设工程文件目录</w:t>
      </w:r>
      <w:bookmarkEnd w:id="1060"/>
    </w:p>
    <w:p>
      <w:pPr>
        <w:pStyle w:val="7"/>
        <w:ind w:firstLine="420"/>
        <w:rPr>
          <w:bCs w:val="0"/>
        </w:rPr>
      </w:pPr>
      <w:bookmarkStart w:id="1061" w:name="_Toc18683364"/>
      <w:r>
        <w:rPr>
          <w:bCs w:val="0"/>
        </w:rPr>
        <w:t>附件5：承包人用于本工程施工的机械设备表</w:t>
      </w:r>
      <w:bookmarkEnd w:id="1061"/>
    </w:p>
    <w:p>
      <w:pPr>
        <w:pStyle w:val="7"/>
        <w:ind w:firstLine="420"/>
        <w:rPr>
          <w:bCs w:val="0"/>
        </w:rPr>
      </w:pPr>
      <w:bookmarkStart w:id="1062" w:name="_Toc18683365"/>
      <w:r>
        <w:rPr>
          <w:bCs w:val="0"/>
        </w:rPr>
        <w:t>附件6：承包人主要施工管理人员表</w:t>
      </w:r>
      <w:bookmarkEnd w:id="1062"/>
    </w:p>
    <w:p>
      <w:pPr>
        <w:pStyle w:val="7"/>
        <w:ind w:firstLine="420"/>
        <w:rPr>
          <w:bCs w:val="0"/>
        </w:rPr>
      </w:pPr>
      <w:bookmarkStart w:id="1063" w:name="_Toc18683366"/>
      <w:r>
        <w:rPr>
          <w:bCs w:val="0"/>
        </w:rPr>
        <w:t>附件7：分包人主要施工管理人员表</w:t>
      </w:r>
      <w:bookmarkEnd w:id="1063"/>
    </w:p>
    <w:p>
      <w:pPr>
        <w:pStyle w:val="7"/>
        <w:ind w:firstLine="420"/>
        <w:rPr>
          <w:bCs w:val="0"/>
        </w:rPr>
      </w:pPr>
      <w:bookmarkStart w:id="1064" w:name="_Toc18683367"/>
      <w:r>
        <w:rPr>
          <w:bCs w:val="0"/>
        </w:rPr>
        <w:t>附件8：暂估价一览表</w:t>
      </w:r>
      <w:bookmarkEnd w:id="1064"/>
    </w:p>
    <w:p>
      <w:pPr>
        <w:pStyle w:val="7"/>
        <w:ind w:firstLine="420"/>
      </w:pPr>
      <w:bookmarkStart w:id="1065" w:name="_Toc18683368"/>
      <w:r>
        <w:rPr>
          <w:rFonts w:hint="eastAsia"/>
        </w:rPr>
        <w:t>附件9：结算审计准备资料表</w:t>
      </w:r>
      <w:bookmarkEnd w:id="1065"/>
    </w:p>
    <w:p>
      <w:pPr>
        <w:pStyle w:val="7"/>
        <w:ind w:firstLine="420"/>
      </w:pPr>
      <w:bookmarkStart w:id="1066" w:name="_Toc18683369"/>
      <w:bookmarkStart w:id="1067" w:name="_Hlk14097801"/>
      <w:r>
        <w:rPr>
          <w:rFonts w:hint="eastAsia"/>
        </w:rPr>
        <w:t>附件10：建设工程施工安全责任书</w:t>
      </w:r>
      <w:bookmarkEnd w:id="1066"/>
    </w:p>
    <w:bookmarkEnd w:id="1067"/>
    <w:p>
      <w:pPr>
        <w:pStyle w:val="7"/>
        <w:ind w:firstLine="420"/>
      </w:pPr>
      <w:bookmarkStart w:id="1068" w:name="_Toc18683370"/>
      <w:r>
        <w:rPr>
          <w:rFonts w:hint="eastAsia"/>
        </w:rPr>
        <w:t>附件11：工程建设项目廉政责任书</w:t>
      </w:r>
      <w:bookmarkEnd w:id="1068"/>
    </w:p>
    <w:p>
      <w:pPr>
        <w:ind w:firstLine="420"/>
        <w:rPr>
          <w:bCs/>
        </w:rPr>
      </w:pPr>
    </w:p>
    <w:p>
      <w:pPr>
        <w:ind w:firstLine="420"/>
        <w:rPr>
          <w:bCs/>
        </w:rPr>
        <w:sectPr>
          <w:pgSz w:w="11906" w:h="16838"/>
          <w:pgMar w:top="1418" w:right="1555" w:bottom="1418" w:left="1531" w:header="851" w:footer="992" w:gutter="0"/>
          <w:cols w:space="720" w:num="1"/>
          <w:titlePg/>
          <w:docGrid w:type="lines" w:linePitch="312" w:charSpace="0"/>
        </w:sectPr>
      </w:pPr>
    </w:p>
    <w:p>
      <w:pPr>
        <w:spacing w:beforeLines="50" w:afterLines="50" w:line="360" w:lineRule="exact"/>
        <w:ind w:firstLine="480"/>
        <w:jc w:val="left"/>
        <w:rPr>
          <w:rFonts w:ascii="宋体" w:hAnsi="宋体"/>
          <w:sz w:val="24"/>
        </w:rPr>
      </w:pPr>
      <w:r>
        <w:rPr>
          <w:rFonts w:hint="eastAsia" w:ascii="宋体" w:hAnsi="宋体"/>
          <w:sz w:val="24"/>
        </w:rPr>
        <w:t>附件1：</w:t>
      </w:r>
    </w:p>
    <w:p>
      <w:pPr>
        <w:spacing w:beforeLines="50" w:afterLines="50" w:line="360" w:lineRule="exact"/>
        <w:ind w:firstLine="480"/>
        <w:jc w:val="center"/>
        <w:rPr>
          <w:rFonts w:ascii="宋体" w:hAnsi="宋体"/>
          <w:sz w:val="24"/>
        </w:rPr>
      </w:pPr>
      <w:r>
        <w:rPr>
          <w:rFonts w:ascii="宋体" w:hAnsi="宋体"/>
          <w:sz w:val="24"/>
        </w:rPr>
        <w:t>承包人承揽工程项目一览表</w:t>
      </w:r>
    </w:p>
    <w:tbl>
      <w:tblPr>
        <w:tblStyle w:val="41"/>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单位工程名称</w:t>
            </w:r>
          </w:p>
        </w:tc>
        <w:tc>
          <w:tcPr>
            <w:tcW w:w="1843"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建设规模</w:t>
            </w:r>
          </w:p>
        </w:tc>
        <w:tc>
          <w:tcPr>
            <w:tcW w:w="1417"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建筑面积(平方米)</w:t>
            </w:r>
          </w:p>
        </w:tc>
        <w:tc>
          <w:tcPr>
            <w:tcW w:w="2410"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结构</w:t>
            </w:r>
            <w:r>
              <w:rPr>
                <w:rFonts w:hint="eastAsia"/>
                <w:kern w:val="2"/>
              </w:rPr>
              <w:t>形式</w:t>
            </w:r>
          </w:p>
        </w:tc>
        <w:tc>
          <w:tcPr>
            <w:tcW w:w="850"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层数</w:t>
            </w:r>
          </w:p>
        </w:tc>
        <w:tc>
          <w:tcPr>
            <w:tcW w:w="1560"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生产能力</w:t>
            </w:r>
          </w:p>
        </w:tc>
        <w:tc>
          <w:tcPr>
            <w:tcW w:w="2126"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设备安装内容</w:t>
            </w:r>
          </w:p>
        </w:tc>
        <w:tc>
          <w:tcPr>
            <w:tcW w:w="1417"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合同价格（元）</w:t>
            </w:r>
          </w:p>
        </w:tc>
        <w:tc>
          <w:tcPr>
            <w:tcW w:w="851"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开工日期</w:t>
            </w:r>
          </w:p>
        </w:tc>
        <w:tc>
          <w:tcPr>
            <w:tcW w:w="850"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843"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417" w:type="dxa"/>
            <w:tcBorders>
              <w:top w:val="double" w:color="auto" w:sz="6" w:space="0"/>
              <w:bottom w:val="single" w:color="auto" w:sz="6" w:space="0"/>
            </w:tcBorders>
            <w:vAlign w:val="center"/>
          </w:tcPr>
          <w:p>
            <w:pPr>
              <w:pStyle w:val="18"/>
              <w:keepNext/>
              <w:spacing w:line="360" w:lineRule="exact"/>
              <w:ind w:left="63" w:right="63"/>
              <w:rPr>
                <w:kern w:val="2"/>
              </w:rPr>
            </w:pPr>
          </w:p>
        </w:tc>
        <w:tc>
          <w:tcPr>
            <w:tcW w:w="2410" w:type="dxa"/>
            <w:tcBorders>
              <w:top w:val="double" w:color="auto" w:sz="6" w:space="0"/>
              <w:bottom w:val="single" w:color="auto" w:sz="6" w:space="0"/>
            </w:tcBorders>
            <w:vAlign w:val="center"/>
          </w:tcPr>
          <w:p>
            <w:pPr>
              <w:pStyle w:val="18"/>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560" w:type="dxa"/>
            <w:tcBorders>
              <w:top w:val="double" w:color="auto" w:sz="6" w:space="0"/>
              <w:bottom w:val="single" w:color="auto" w:sz="6" w:space="0"/>
            </w:tcBorders>
            <w:vAlign w:val="center"/>
          </w:tcPr>
          <w:p>
            <w:pPr>
              <w:pStyle w:val="18"/>
              <w:keepNext/>
              <w:spacing w:line="360" w:lineRule="exact"/>
              <w:ind w:left="63" w:right="63"/>
              <w:rPr>
                <w:kern w:val="2"/>
              </w:rPr>
            </w:pPr>
          </w:p>
        </w:tc>
        <w:tc>
          <w:tcPr>
            <w:tcW w:w="2126"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417" w:type="dxa"/>
            <w:tcBorders>
              <w:top w:val="double" w:color="auto" w:sz="6" w:space="0"/>
              <w:bottom w:val="single" w:color="auto" w:sz="6" w:space="0"/>
            </w:tcBorders>
            <w:vAlign w:val="center"/>
          </w:tcPr>
          <w:p>
            <w:pPr>
              <w:pStyle w:val="18"/>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8"/>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8"/>
              <w:keepNext/>
              <w:spacing w:line="360" w:lineRule="exact"/>
              <w:ind w:left="63" w:right="63"/>
              <w:rPr>
                <w:kern w:val="2"/>
              </w:rPr>
            </w:pPr>
          </w:p>
        </w:tc>
        <w:tc>
          <w:tcPr>
            <w:tcW w:w="1843" w:type="dxa"/>
            <w:tcBorders>
              <w:top w:val="nil"/>
            </w:tcBorders>
            <w:vAlign w:val="center"/>
          </w:tcPr>
          <w:p>
            <w:pPr>
              <w:pStyle w:val="18"/>
              <w:keepNext/>
              <w:spacing w:line="360" w:lineRule="exact"/>
              <w:ind w:left="63" w:right="63"/>
              <w:rPr>
                <w:kern w:val="2"/>
              </w:rPr>
            </w:pPr>
          </w:p>
        </w:tc>
        <w:tc>
          <w:tcPr>
            <w:tcW w:w="1417" w:type="dxa"/>
            <w:tcBorders>
              <w:top w:val="nil"/>
            </w:tcBorders>
            <w:vAlign w:val="center"/>
          </w:tcPr>
          <w:p>
            <w:pPr>
              <w:pStyle w:val="18"/>
              <w:keepNext/>
              <w:spacing w:line="360" w:lineRule="exact"/>
              <w:ind w:left="63" w:right="63"/>
              <w:rPr>
                <w:kern w:val="2"/>
              </w:rPr>
            </w:pPr>
          </w:p>
        </w:tc>
        <w:tc>
          <w:tcPr>
            <w:tcW w:w="2410"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c>
          <w:tcPr>
            <w:tcW w:w="1560" w:type="dxa"/>
            <w:tcBorders>
              <w:top w:val="nil"/>
            </w:tcBorders>
            <w:vAlign w:val="center"/>
          </w:tcPr>
          <w:p>
            <w:pPr>
              <w:pStyle w:val="18"/>
              <w:keepNext/>
              <w:spacing w:line="360" w:lineRule="exact"/>
              <w:ind w:left="63" w:right="63"/>
              <w:rPr>
                <w:kern w:val="2"/>
              </w:rPr>
            </w:pPr>
          </w:p>
        </w:tc>
        <w:tc>
          <w:tcPr>
            <w:tcW w:w="2126" w:type="dxa"/>
            <w:tcBorders>
              <w:top w:val="nil"/>
            </w:tcBorders>
            <w:vAlign w:val="center"/>
          </w:tcPr>
          <w:p>
            <w:pPr>
              <w:pStyle w:val="18"/>
              <w:keepNext/>
              <w:spacing w:line="360" w:lineRule="exact"/>
              <w:ind w:left="63" w:right="63"/>
              <w:rPr>
                <w:kern w:val="2"/>
              </w:rPr>
            </w:pPr>
          </w:p>
        </w:tc>
        <w:tc>
          <w:tcPr>
            <w:tcW w:w="1417" w:type="dxa"/>
            <w:tcBorders>
              <w:top w:val="nil"/>
            </w:tcBorders>
            <w:vAlign w:val="center"/>
          </w:tcPr>
          <w:p>
            <w:pPr>
              <w:pStyle w:val="18"/>
              <w:keepNext/>
              <w:spacing w:line="360" w:lineRule="exact"/>
              <w:ind w:left="63" w:right="63"/>
              <w:rPr>
                <w:kern w:val="2"/>
              </w:rPr>
            </w:pPr>
          </w:p>
        </w:tc>
        <w:tc>
          <w:tcPr>
            <w:tcW w:w="851"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8"/>
              <w:keepNext/>
              <w:spacing w:line="360" w:lineRule="exact"/>
              <w:ind w:left="63" w:right="63"/>
              <w:rPr>
                <w:kern w:val="2"/>
              </w:rPr>
            </w:pPr>
          </w:p>
        </w:tc>
        <w:tc>
          <w:tcPr>
            <w:tcW w:w="1843" w:type="dxa"/>
            <w:tcBorders>
              <w:top w:val="nil"/>
            </w:tcBorders>
            <w:vAlign w:val="center"/>
          </w:tcPr>
          <w:p>
            <w:pPr>
              <w:pStyle w:val="18"/>
              <w:keepNext/>
              <w:spacing w:line="360" w:lineRule="exact"/>
              <w:ind w:left="63" w:right="63"/>
              <w:rPr>
                <w:kern w:val="2"/>
              </w:rPr>
            </w:pPr>
          </w:p>
        </w:tc>
        <w:tc>
          <w:tcPr>
            <w:tcW w:w="1417" w:type="dxa"/>
            <w:tcBorders>
              <w:top w:val="nil"/>
            </w:tcBorders>
            <w:vAlign w:val="center"/>
          </w:tcPr>
          <w:p>
            <w:pPr>
              <w:pStyle w:val="18"/>
              <w:keepNext/>
              <w:spacing w:line="360" w:lineRule="exact"/>
              <w:ind w:left="63" w:right="63"/>
              <w:rPr>
                <w:kern w:val="2"/>
              </w:rPr>
            </w:pPr>
          </w:p>
        </w:tc>
        <w:tc>
          <w:tcPr>
            <w:tcW w:w="2410"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c>
          <w:tcPr>
            <w:tcW w:w="1560" w:type="dxa"/>
            <w:tcBorders>
              <w:top w:val="nil"/>
            </w:tcBorders>
            <w:vAlign w:val="center"/>
          </w:tcPr>
          <w:p>
            <w:pPr>
              <w:pStyle w:val="18"/>
              <w:keepNext/>
              <w:spacing w:line="360" w:lineRule="exact"/>
              <w:ind w:left="63" w:right="63"/>
              <w:rPr>
                <w:kern w:val="2"/>
              </w:rPr>
            </w:pPr>
          </w:p>
        </w:tc>
        <w:tc>
          <w:tcPr>
            <w:tcW w:w="2126" w:type="dxa"/>
            <w:tcBorders>
              <w:top w:val="nil"/>
            </w:tcBorders>
            <w:vAlign w:val="center"/>
          </w:tcPr>
          <w:p>
            <w:pPr>
              <w:pStyle w:val="18"/>
              <w:keepNext/>
              <w:spacing w:line="360" w:lineRule="exact"/>
              <w:ind w:left="63" w:right="63"/>
              <w:rPr>
                <w:kern w:val="2"/>
              </w:rPr>
            </w:pPr>
          </w:p>
        </w:tc>
        <w:tc>
          <w:tcPr>
            <w:tcW w:w="1417" w:type="dxa"/>
            <w:tcBorders>
              <w:top w:val="nil"/>
            </w:tcBorders>
            <w:vAlign w:val="center"/>
          </w:tcPr>
          <w:p>
            <w:pPr>
              <w:pStyle w:val="18"/>
              <w:keepNext/>
              <w:spacing w:line="360" w:lineRule="exact"/>
              <w:ind w:left="63" w:right="63"/>
              <w:rPr>
                <w:kern w:val="2"/>
              </w:rPr>
            </w:pPr>
          </w:p>
        </w:tc>
        <w:tc>
          <w:tcPr>
            <w:tcW w:w="851"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8"/>
              <w:keepNext/>
              <w:spacing w:line="360" w:lineRule="exact"/>
              <w:ind w:left="63" w:right="63"/>
              <w:rPr>
                <w:kern w:val="2"/>
              </w:rPr>
            </w:pPr>
          </w:p>
        </w:tc>
        <w:tc>
          <w:tcPr>
            <w:tcW w:w="1843" w:type="dxa"/>
            <w:vAlign w:val="center"/>
          </w:tcPr>
          <w:p>
            <w:pPr>
              <w:pStyle w:val="18"/>
              <w:keepNext/>
              <w:spacing w:line="360" w:lineRule="exact"/>
              <w:ind w:left="63" w:right="63"/>
              <w:rPr>
                <w:kern w:val="2"/>
              </w:rPr>
            </w:pPr>
          </w:p>
        </w:tc>
        <w:tc>
          <w:tcPr>
            <w:tcW w:w="1417" w:type="dxa"/>
            <w:vAlign w:val="center"/>
          </w:tcPr>
          <w:p>
            <w:pPr>
              <w:pStyle w:val="18"/>
              <w:keepNext/>
              <w:spacing w:line="360" w:lineRule="exact"/>
              <w:ind w:left="63" w:right="63"/>
              <w:rPr>
                <w:kern w:val="2"/>
              </w:rPr>
            </w:pPr>
          </w:p>
        </w:tc>
        <w:tc>
          <w:tcPr>
            <w:tcW w:w="2410"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c>
          <w:tcPr>
            <w:tcW w:w="1560" w:type="dxa"/>
            <w:vAlign w:val="center"/>
          </w:tcPr>
          <w:p>
            <w:pPr>
              <w:pStyle w:val="18"/>
              <w:keepNext/>
              <w:spacing w:line="360" w:lineRule="exact"/>
              <w:ind w:left="63" w:right="63"/>
              <w:rPr>
                <w:kern w:val="2"/>
              </w:rPr>
            </w:pPr>
          </w:p>
        </w:tc>
        <w:tc>
          <w:tcPr>
            <w:tcW w:w="2126" w:type="dxa"/>
            <w:vAlign w:val="center"/>
          </w:tcPr>
          <w:p>
            <w:pPr>
              <w:pStyle w:val="18"/>
              <w:keepNext/>
              <w:spacing w:line="360" w:lineRule="exact"/>
              <w:ind w:left="63" w:right="63"/>
              <w:rPr>
                <w:kern w:val="2"/>
              </w:rPr>
            </w:pPr>
          </w:p>
        </w:tc>
        <w:tc>
          <w:tcPr>
            <w:tcW w:w="1417"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8"/>
              <w:keepNext/>
              <w:spacing w:line="360" w:lineRule="exact"/>
              <w:ind w:left="63" w:right="63"/>
              <w:rPr>
                <w:kern w:val="2"/>
              </w:rPr>
            </w:pPr>
          </w:p>
        </w:tc>
        <w:tc>
          <w:tcPr>
            <w:tcW w:w="1843" w:type="dxa"/>
            <w:tcBorders>
              <w:top w:val="nil"/>
            </w:tcBorders>
            <w:vAlign w:val="center"/>
          </w:tcPr>
          <w:p>
            <w:pPr>
              <w:pStyle w:val="18"/>
              <w:keepNext/>
              <w:spacing w:line="360" w:lineRule="exact"/>
              <w:ind w:left="63" w:right="63"/>
              <w:rPr>
                <w:kern w:val="2"/>
              </w:rPr>
            </w:pPr>
          </w:p>
        </w:tc>
        <w:tc>
          <w:tcPr>
            <w:tcW w:w="1417" w:type="dxa"/>
            <w:tcBorders>
              <w:top w:val="nil"/>
            </w:tcBorders>
            <w:vAlign w:val="center"/>
          </w:tcPr>
          <w:p>
            <w:pPr>
              <w:pStyle w:val="18"/>
              <w:keepNext/>
              <w:spacing w:line="360" w:lineRule="exact"/>
              <w:ind w:left="63" w:right="63"/>
              <w:rPr>
                <w:kern w:val="2"/>
              </w:rPr>
            </w:pPr>
          </w:p>
        </w:tc>
        <w:tc>
          <w:tcPr>
            <w:tcW w:w="2410"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c>
          <w:tcPr>
            <w:tcW w:w="1560" w:type="dxa"/>
            <w:tcBorders>
              <w:top w:val="nil"/>
            </w:tcBorders>
            <w:vAlign w:val="center"/>
          </w:tcPr>
          <w:p>
            <w:pPr>
              <w:pStyle w:val="18"/>
              <w:keepNext/>
              <w:spacing w:line="360" w:lineRule="exact"/>
              <w:ind w:left="63" w:right="63"/>
              <w:rPr>
                <w:kern w:val="2"/>
              </w:rPr>
            </w:pPr>
          </w:p>
        </w:tc>
        <w:tc>
          <w:tcPr>
            <w:tcW w:w="2126" w:type="dxa"/>
            <w:tcBorders>
              <w:top w:val="nil"/>
            </w:tcBorders>
            <w:vAlign w:val="center"/>
          </w:tcPr>
          <w:p>
            <w:pPr>
              <w:pStyle w:val="18"/>
              <w:keepNext/>
              <w:spacing w:line="360" w:lineRule="exact"/>
              <w:ind w:left="63" w:right="63"/>
              <w:rPr>
                <w:kern w:val="2"/>
              </w:rPr>
            </w:pPr>
          </w:p>
        </w:tc>
        <w:tc>
          <w:tcPr>
            <w:tcW w:w="1417" w:type="dxa"/>
            <w:tcBorders>
              <w:top w:val="nil"/>
            </w:tcBorders>
            <w:vAlign w:val="center"/>
          </w:tcPr>
          <w:p>
            <w:pPr>
              <w:pStyle w:val="18"/>
              <w:keepNext/>
              <w:spacing w:line="360" w:lineRule="exact"/>
              <w:ind w:left="63" w:right="63"/>
              <w:rPr>
                <w:kern w:val="2"/>
              </w:rPr>
            </w:pPr>
          </w:p>
        </w:tc>
        <w:tc>
          <w:tcPr>
            <w:tcW w:w="851"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8"/>
              <w:keepNext/>
              <w:spacing w:line="360" w:lineRule="exact"/>
              <w:ind w:left="63" w:right="63"/>
              <w:rPr>
                <w:kern w:val="2"/>
              </w:rPr>
            </w:pPr>
          </w:p>
        </w:tc>
        <w:tc>
          <w:tcPr>
            <w:tcW w:w="1843" w:type="dxa"/>
            <w:vAlign w:val="center"/>
          </w:tcPr>
          <w:p>
            <w:pPr>
              <w:pStyle w:val="18"/>
              <w:keepNext/>
              <w:spacing w:line="360" w:lineRule="exact"/>
              <w:ind w:left="63" w:right="63"/>
              <w:rPr>
                <w:kern w:val="2"/>
              </w:rPr>
            </w:pPr>
          </w:p>
        </w:tc>
        <w:tc>
          <w:tcPr>
            <w:tcW w:w="1417" w:type="dxa"/>
            <w:vAlign w:val="center"/>
          </w:tcPr>
          <w:p>
            <w:pPr>
              <w:pStyle w:val="18"/>
              <w:keepNext/>
              <w:spacing w:line="360" w:lineRule="exact"/>
              <w:ind w:left="63" w:right="63"/>
              <w:rPr>
                <w:kern w:val="2"/>
              </w:rPr>
            </w:pPr>
          </w:p>
        </w:tc>
        <w:tc>
          <w:tcPr>
            <w:tcW w:w="2410"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c>
          <w:tcPr>
            <w:tcW w:w="1560" w:type="dxa"/>
            <w:vAlign w:val="center"/>
          </w:tcPr>
          <w:p>
            <w:pPr>
              <w:pStyle w:val="18"/>
              <w:keepNext/>
              <w:spacing w:line="360" w:lineRule="exact"/>
              <w:ind w:left="63" w:right="63"/>
              <w:rPr>
                <w:kern w:val="2"/>
              </w:rPr>
            </w:pPr>
          </w:p>
        </w:tc>
        <w:tc>
          <w:tcPr>
            <w:tcW w:w="2126" w:type="dxa"/>
            <w:vAlign w:val="center"/>
          </w:tcPr>
          <w:p>
            <w:pPr>
              <w:pStyle w:val="18"/>
              <w:keepNext/>
              <w:spacing w:line="360" w:lineRule="exact"/>
              <w:ind w:left="63" w:right="63"/>
              <w:rPr>
                <w:kern w:val="2"/>
              </w:rPr>
            </w:pPr>
          </w:p>
        </w:tc>
        <w:tc>
          <w:tcPr>
            <w:tcW w:w="1417"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8"/>
              <w:keepNext/>
              <w:spacing w:line="360" w:lineRule="exact"/>
              <w:ind w:left="63" w:right="63"/>
              <w:rPr>
                <w:kern w:val="2"/>
              </w:rPr>
            </w:pPr>
          </w:p>
        </w:tc>
        <w:tc>
          <w:tcPr>
            <w:tcW w:w="1843" w:type="dxa"/>
            <w:tcBorders>
              <w:top w:val="nil"/>
            </w:tcBorders>
            <w:vAlign w:val="center"/>
          </w:tcPr>
          <w:p>
            <w:pPr>
              <w:pStyle w:val="18"/>
              <w:keepNext/>
              <w:spacing w:line="360" w:lineRule="exact"/>
              <w:ind w:left="63" w:right="63"/>
              <w:rPr>
                <w:kern w:val="2"/>
              </w:rPr>
            </w:pPr>
          </w:p>
        </w:tc>
        <w:tc>
          <w:tcPr>
            <w:tcW w:w="1417" w:type="dxa"/>
            <w:tcBorders>
              <w:top w:val="nil"/>
            </w:tcBorders>
            <w:vAlign w:val="center"/>
          </w:tcPr>
          <w:p>
            <w:pPr>
              <w:pStyle w:val="18"/>
              <w:keepNext/>
              <w:spacing w:line="360" w:lineRule="exact"/>
              <w:ind w:left="63" w:right="63"/>
              <w:rPr>
                <w:kern w:val="2"/>
              </w:rPr>
            </w:pPr>
          </w:p>
        </w:tc>
        <w:tc>
          <w:tcPr>
            <w:tcW w:w="2410"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c>
          <w:tcPr>
            <w:tcW w:w="1560" w:type="dxa"/>
            <w:tcBorders>
              <w:top w:val="nil"/>
            </w:tcBorders>
            <w:vAlign w:val="center"/>
          </w:tcPr>
          <w:p>
            <w:pPr>
              <w:pStyle w:val="18"/>
              <w:keepNext/>
              <w:spacing w:line="360" w:lineRule="exact"/>
              <w:ind w:left="63" w:right="63"/>
              <w:rPr>
                <w:kern w:val="2"/>
              </w:rPr>
            </w:pPr>
          </w:p>
        </w:tc>
        <w:tc>
          <w:tcPr>
            <w:tcW w:w="2126" w:type="dxa"/>
            <w:tcBorders>
              <w:top w:val="nil"/>
            </w:tcBorders>
            <w:vAlign w:val="center"/>
          </w:tcPr>
          <w:p>
            <w:pPr>
              <w:pStyle w:val="18"/>
              <w:keepNext/>
              <w:spacing w:line="360" w:lineRule="exact"/>
              <w:ind w:left="63" w:right="63"/>
              <w:rPr>
                <w:kern w:val="2"/>
              </w:rPr>
            </w:pPr>
          </w:p>
        </w:tc>
        <w:tc>
          <w:tcPr>
            <w:tcW w:w="1417" w:type="dxa"/>
            <w:tcBorders>
              <w:top w:val="nil"/>
            </w:tcBorders>
            <w:vAlign w:val="center"/>
          </w:tcPr>
          <w:p>
            <w:pPr>
              <w:pStyle w:val="18"/>
              <w:keepNext/>
              <w:spacing w:line="360" w:lineRule="exact"/>
              <w:ind w:left="63" w:right="63"/>
              <w:rPr>
                <w:kern w:val="2"/>
              </w:rPr>
            </w:pPr>
          </w:p>
        </w:tc>
        <w:tc>
          <w:tcPr>
            <w:tcW w:w="851"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8"/>
              <w:keepNext/>
              <w:spacing w:line="360" w:lineRule="exact"/>
              <w:ind w:left="63" w:right="63"/>
              <w:rPr>
                <w:kern w:val="2"/>
              </w:rPr>
            </w:pPr>
          </w:p>
        </w:tc>
        <w:tc>
          <w:tcPr>
            <w:tcW w:w="1843" w:type="dxa"/>
            <w:tcBorders>
              <w:top w:val="nil"/>
            </w:tcBorders>
            <w:vAlign w:val="center"/>
          </w:tcPr>
          <w:p>
            <w:pPr>
              <w:pStyle w:val="18"/>
              <w:keepNext/>
              <w:spacing w:line="360" w:lineRule="exact"/>
              <w:ind w:left="63" w:right="63"/>
              <w:rPr>
                <w:kern w:val="2"/>
              </w:rPr>
            </w:pPr>
          </w:p>
        </w:tc>
        <w:tc>
          <w:tcPr>
            <w:tcW w:w="1417" w:type="dxa"/>
            <w:tcBorders>
              <w:top w:val="nil"/>
            </w:tcBorders>
            <w:vAlign w:val="center"/>
          </w:tcPr>
          <w:p>
            <w:pPr>
              <w:pStyle w:val="18"/>
              <w:keepNext/>
              <w:spacing w:line="360" w:lineRule="exact"/>
              <w:ind w:left="63" w:right="63"/>
              <w:rPr>
                <w:kern w:val="2"/>
              </w:rPr>
            </w:pPr>
          </w:p>
        </w:tc>
        <w:tc>
          <w:tcPr>
            <w:tcW w:w="2410"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c>
          <w:tcPr>
            <w:tcW w:w="1560" w:type="dxa"/>
            <w:tcBorders>
              <w:top w:val="nil"/>
            </w:tcBorders>
            <w:vAlign w:val="center"/>
          </w:tcPr>
          <w:p>
            <w:pPr>
              <w:pStyle w:val="18"/>
              <w:keepNext/>
              <w:spacing w:line="360" w:lineRule="exact"/>
              <w:ind w:left="63" w:right="63"/>
              <w:rPr>
                <w:kern w:val="2"/>
              </w:rPr>
            </w:pPr>
          </w:p>
        </w:tc>
        <w:tc>
          <w:tcPr>
            <w:tcW w:w="2126" w:type="dxa"/>
            <w:tcBorders>
              <w:top w:val="nil"/>
            </w:tcBorders>
            <w:vAlign w:val="center"/>
          </w:tcPr>
          <w:p>
            <w:pPr>
              <w:pStyle w:val="18"/>
              <w:keepNext/>
              <w:spacing w:line="360" w:lineRule="exact"/>
              <w:ind w:left="63" w:right="63"/>
              <w:rPr>
                <w:kern w:val="2"/>
              </w:rPr>
            </w:pPr>
          </w:p>
        </w:tc>
        <w:tc>
          <w:tcPr>
            <w:tcW w:w="1417" w:type="dxa"/>
            <w:tcBorders>
              <w:top w:val="nil"/>
            </w:tcBorders>
            <w:vAlign w:val="center"/>
          </w:tcPr>
          <w:p>
            <w:pPr>
              <w:pStyle w:val="18"/>
              <w:keepNext/>
              <w:spacing w:line="360" w:lineRule="exact"/>
              <w:ind w:left="63" w:right="63"/>
              <w:rPr>
                <w:kern w:val="2"/>
              </w:rPr>
            </w:pPr>
          </w:p>
        </w:tc>
        <w:tc>
          <w:tcPr>
            <w:tcW w:w="851"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8"/>
              <w:keepNext/>
              <w:spacing w:line="360" w:lineRule="exact"/>
              <w:ind w:left="63" w:right="63"/>
              <w:rPr>
                <w:kern w:val="2"/>
              </w:rPr>
            </w:pPr>
          </w:p>
        </w:tc>
        <w:tc>
          <w:tcPr>
            <w:tcW w:w="1843" w:type="dxa"/>
            <w:vAlign w:val="center"/>
          </w:tcPr>
          <w:p>
            <w:pPr>
              <w:pStyle w:val="18"/>
              <w:keepNext/>
              <w:spacing w:line="360" w:lineRule="exact"/>
              <w:ind w:left="63" w:right="63"/>
              <w:rPr>
                <w:kern w:val="2"/>
              </w:rPr>
            </w:pPr>
          </w:p>
        </w:tc>
        <w:tc>
          <w:tcPr>
            <w:tcW w:w="1417" w:type="dxa"/>
            <w:vAlign w:val="center"/>
          </w:tcPr>
          <w:p>
            <w:pPr>
              <w:pStyle w:val="18"/>
              <w:keepNext/>
              <w:spacing w:line="360" w:lineRule="exact"/>
              <w:ind w:left="63" w:right="63"/>
              <w:rPr>
                <w:kern w:val="2"/>
              </w:rPr>
            </w:pPr>
          </w:p>
        </w:tc>
        <w:tc>
          <w:tcPr>
            <w:tcW w:w="2410"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c>
          <w:tcPr>
            <w:tcW w:w="1560" w:type="dxa"/>
            <w:vAlign w:val="center"/>
          </w:tcPr>
          <w:p>
            <w:pPr>
              <w:pStyle w:val="18"/>
              <w:keepNext/>
              <w:spacing w:line="360" w:lineRule="exact"/>
              <w:ind w:left="63" w:right="63"/>
              <w:rPr>
                <w:kern w:val="2"/>
              </w:rPr>
            </w:pPr>
          </w:p>
        </w:tc>
        <w:tc>
          <w:tcPr>
            <w:tcW w:w="2126" w:type="dxa"/>
            <w:vAlign w:val="center"/>
          </w:tcPr>
          <w:p>
            <w:pPr>
              <w:pStyle w:val="18"/>
              <w:keepNext/>
              <w:spacing w:line="360" w:lineRule="exact"/>
              <w:ind w:left="63" w:right="63"/>
              <w:rPr>
                <w:kern w:val="2"/>
              </w:rPr>
            </w:pPr>
          </w:p>
        </w:tc>
        <w:tc>
          <w:tcPr>
            <w:tcW w:w="1417"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tcBorders>
              <w:top w:val="nil"/>
            </w:tcBorders>
            <w:vAlign w:val="center"/>
          </w:tcPr>
          <w:p>
            <w:pPr>
              <w:pStyle w:val="18"/>
              <w:keepNext/>
              <w:spacing w:line="360" w:lineRule="exact"/>
              <w:ind w:left="63" w:right="63"/>
              <w:rPr>
                <w:kern w:val="2"/>
              </w:rPr>
            </w:pPr>
          </w:p>
        </w:tc>
        <w:tc>
          <w:tcPr>
            <w:tcW w:w="1843" w:type="dxa"/>
            <w:tcBorders>
              <w:top w:val="nil"/>
            </w:tcBorders>
            <w:vAlign w:val="center"/>
          </w:tcPr>
          <w:p>
            <w:pPr>
              <w:pStyle w:val="18"/>
              <w:keepNext/>
              <w:spacing w:line="360" w:lineRule="exact"/>
              <w:ind w:left="63" w:right="63"/>
              <w:rPr>
                <w:kern w:val="2"/>
              </w:rPr>
            </w:pPr>
          </w:p>
        </w:tc>
        <w:tc>
          <w:tcPr>
            <w:tcW w:w="1417" w:type="dxa"/>
            <w:tcBorders>
              <w:top w:val="nil"/>
            </w:tcBorders>
            <w:vAlign w:val="center"/>
          </w:tcPr>
          <w:p>
            <w:pPr>
              <w:pStyle w:val="18"/>
              <w:keepNext/>
              <w:spacing w:line="360" w:lineRule="exact"/>
              <w:ind w:left="63" w:right="63"/>
              <w:rPr>
                <w:kern w:val="2"/>
              </w:rPr>
            </w:pPr>
          </w:p>
        </w:tc>
        <w:tc>
          <w:tcPr>
            <w:tcW w:w="2410"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c>
          <w:tcPr>
            <w:tcW w:w="1560" w:type="dxa"/>
            <w:tcBorders>
              <w:top w:val="nil"/>
            </w:tcBorders>
            <w:vAlign w:val="center"/>
          </w:tcPr>
          <w:p>
            <w:pPr>
              <w:pStyle w:val="18"/>
              <w:keepNext/>
              <w:spacing w:line="360" w:lineRule="exact"/>
              <w:ind w:left="63" w:right="63"/>
              <w:rPr>
                <w:kern w:val="2"/>
              </w:rPr>
            </w:pPr>
          </w:p>
        </w:tc>
        <w:tc>
          <w:tcPr>
            <w:tcW w:w="2126" w:type="dxa"/>
            <w:tcBorders>
              <w:top w:val="nil"/>
            </w:tcBorders>
            <w:vAlign w:val="center"/>
          </w:tcPr>
          <w:p>
            <w:pPr>
              <w:pStyle w:val="18"/>
              <w:keepNext/>
              <w:spacing w:line="360" w:lineRule="exact"/>
              <w:ind w:left="63" w:right="63"/>
              <w:rPr>
                <w:kern w:val="2"/>
              </w:rPr>
            </w:pPr>
          </w:p>
        </w:tc>
        <w:tc>
          <w:tcPr>
            <w:tcW w:w="1417" w:type="dxa"/>
            <w:tcBorders>
              <w:top w:val="nil"/>
            </w:tcBorders>
            <w:vAlign w:val="center"/>
          </w:tcPr>
          <w:p>
            <w:pPr>
              <w:pStyle w:val="18"/>
              <w:keepNext/>
              <w:spacing w:line="360" w:lineRule="exact"/>
              <w:ind w:left="63" w:right="63"/>
              <w:rPr>
                <w:kern w:val="2"/>
              </w:rPr>
            </w:pPr>
          </w:p>
        </w:tc>
        <w:tc>
          <w:tcPr>
            <w:tcW w:w="851"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trPr>
        <w:tc>
          <w:tcPr>
            <w:tcW w:w="1277" w:type="dxa"/>
            <w:vAlign w:val="center"/>
          </w:tcPr>
          <w:p>
            <w:pPr>
              <w:pStyle w:val="18"/>
              <w:keepNext/>
              <w:spacing w:line="360" w:lineRule="exact"/>
              <w:ind w:left="63" w:right="63"/>
              <w:rPr>
                <w:kern w:val="2"/>
              </w:rPr>
            </w:pPr>
          </w:p>
        </w:tc>
        <w:tc>
          <w:tcPr>
            <w:tcW w:w="1843" w:type="dxa"/>
            <w:vAlign w:val="center"/>
          </w:tcPr>
          <w:p>
            <w:pPr>
              <w:pStyle w:val="18"/>
              <w:keepNext/>
              <w:spacing w:line="360" w:lineRule="exact"/>
              <w:ind w:left="63" w:right="63"/>
              <w:rPr>
                <w:kern w:val="2"/>
              </w:rPr>
            </w:pPr>
          </w:p>
        </w:tc>
        <w:tc>
          <w:tcPr>
            <w:tcW w:w="1417" w:type="dxa"/>
            <w:vAlign w:val="center"/>
          </w:tcPr>
          <w:p>
            <w:pPr>
              <w:pStyle w:val="18"/>
              <w:keepNext/>
              <w:spacing w:line="360" w:lineRule="exact"/>
              <w:ind w:left="63" w:right="63"/>
              <w:rPr>
                <w:kern w:val="2"/>
              </w:rPr>
            </w:pPr>
          </w:p>
        </w:tc>
        <w:tc>
          <w:tcPr>
            <w:tcW w:w="2410"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c>
          <w:tcPr>
            <w:tcW w:w="1560" w:type="dxa"/>
            <w:vAlign w:val="center"/>
          </w:tcPr>
          <w:p>
            <w:pPr>
              <w:pStyle w:val="18"/>
              <w:keepNext/>
              <w:spacing w:line="360" w:lineRule="exact"/>
              <w:ind w:left="63" w:right="63"/>
              <w:rPr>
                <w:kern w:val="2"/>
              </w:rPr>
            </w:pPr>
          </w:p>
        </w:tc>
        <w:tc>
          <w:tcPr>
            <w:tcW w:w="2126" w:type="dxa"/>
            <w:vAlign w:val="center"/>
          </w:tcPr>
          <w:p>
            <w:pPr>
              <w:pStyle w:val="18"/>
              <w:keepNext/>
              <w:spacing w:line="360" w:lineRule="exact"/>
              <w:ind w:left="63" w:right="63"/>
              <w:rPr>
                <w:kern w:val="2"/>
              </w:rPr>
            </w:pPr>
          </w:p>
        </w:tc>
        <w:tc>
          <w:tcPr>
            <w:tcW w:w="1417"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r>
    </w:tbl>
    <w:p>
      <w:pPr>
        <w:spacing w:line="360" w:lineRule="exact"/>
        <w:ind w:firstLine="480"/>
        <w:rPr>
          <w:rFonts w:ascii="宋体" w:hAnsi="宋体"/>
          <w:sz w:val="24"/>
        </w:rPr>
        <w:sectPr>
          <w:pgSz w:w="16838" w:h="11906" w:orient="landscape"/>
          <w:pgMar w:top="1554" w:right="1418" w:bottom="1531" w:left="1418" w:header="851" w:footer="992" w:gutter="0"/>
          <w:cols w:space="720" w:num="1"/>
          <w:titlePg/>
          <w:docGrid w:type="linesAndChars" w:linePitch="312" w:charSpace="0"/>
        </w:sectPr>
      </w:pPr>
    </w:p>
    <w:p>
      <w:pPr>
        <w:spacing w:line="360" w:lineRule="exact"/>
        <w:ind w:firstLine="480"/>
        <w:rPr>
          <w:rFonts w:ascii="宋体" w:hAnsi="宋体"/>
          <w:sz w:val="24"/>
        </w:rPr>
      </w:pPr>
      <w:r>
        <w:rPr>
          <w:rFonts w:ascii="宋体" w:hAnsi="宋体"/>
          <w:sz w:val="24"/>
        </w:rPr>
        <w:t>附</w:t>
      </w:r>
      <w:bookmarkStart w:id="1069" w:name="_Toc296891053"/>
      <w:bookmarkStart w:id="1070" w:name="_Toc296346726"/>
      <w:bookmarkStart w:id="1071" w:name="_Toc267261692"/>
      <w:bookmarkStart w:id="1072" w:name="_Toc296891265"/>
      <w:bookmarkStart w:id="1073" w:name="_Toc296944564"/>
      <w:bookmarkStart w:id="1074" w:name="_Toc296503225"/>
      <w:bookmarkStart w:id="1075" w:name="_Toc296347224"/>
      <w:r>
        <w:rPr>
          <w:rFonts w:ascii="宋体" w:hAnsi="宋体"/>
          <w:sz w:val="24"/>
        </w:rPr>
        <w:t>件2：</w:t>
      </w:r>
    </w:p>
    <w:bookmarkEnd w:id="1069"/>
    <w:bookmarkEnd w:id="1070"/>
    <w:bookmarkEnd w:id="1071"/>
    <w:bookmarkEnd w:id="1072"/>
    <w:bookmarkEnd w:id="1073"/>
    <w:bookmarkEnd w:id="1074"/>
    <w:bookmarkEnd w:id="1075"/>
    <w:p>
      <w:pPr>
        <w:spacing w:beforeLines="50" w:afterLines="50" w:line="360" w:lineRule="exact"/>
        <w:ind w:firstLine="480"/>
        <w:jc w:val="center"/>
        <w:rPr>
          <w:rFonts w:ascii="宋体" w:hAnsi="宋体"/>
          <w:sz w:val="24"/>
        </w:rPr>
      </w:pPr>
      <w:r>
        <w:rPr>
          <w:rFonts w:ascii="宋体" w:hAnsi="宋体"/>
          <w:sz w:val="24"/>
        </w:rPr>
        <w:t>发包人供应材料设备一览表</w:t>
      </w:r>
    </w:p>
    <w:tbl>
      <w:tblPr>
        <w:tblStyle w:val="41"/>
        <w:tblW w:w="107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序号</w:t>
            </w:r>
          </w:p>
        </w:tc>
        <w:tc>
          <w:tcPr>
            <w:tcW w:w="1276"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材料、</w:t>
            </w:r>
          </w:p>
          <w:p>
            <w:pPr>
              <w:pStyle w:val="18"/>
              <w:keepNext/>
              <w:spacing w:line="360" w:lineRule="exact"/>
              <w:ind w:right="63"/>
              <w:jc w:val="both"/>
              <w:rPr>
                <w:kern w:val="2"/>
              </w:rPr>
            </w:pPr>
            <w:r>
              <w:rPr>
                <w:kern w:val="2"/>
              </w:rPr>
              <w:t>设备品种</w:t>
            </w:r>
          </w:p>
        </w:tc>
        <w:tc>
          <w:tcPr>
            <w:tcW w:w="1418"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规格型号</w:t>
            </w:r>
          </w:p>
        </w:tc>
        <w:tc>
          <w:tcPr>
            <w:tcW w:w="940"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单位</w:t>
            </w:r>
          </w:p>
        </w:tc>
        <w:tc>
          <w:tcPr>
            <w:tcW w:w="851"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数量</w:t>
            </w:r>
          </w:p>
        </w:tc>
        <w:tc>
          <w:tcPr>
            <w:tcW w:w="1044"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单价</w:t>
            </w:r>
            <w:r>
              <w:rPr>
                <w:rFonts w:hint="eastAsia"/>
                <w:kern w:val="2"/>
              </w:rPr>
              <w:t>（元）</w:t>
            </w:r>
          </w:p>
        </w:tc>
        <w:tc>
          <w:tcPr>
            <w:tcW w:w="992"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质量等级</w:t>
            </w:r>
          </w:p>
        </w:tc>
        <w:tc>
          <w:tcPr>
            <w:tcW w:w="851"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供应时间</w:t>
            </w:r>
          </w:p>
        </w:tc>
        <w:tc>
          <w:tcPr>
            <w:tcW w:w="1487"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送达地点</w:t>
            </w:r>
          </w:p>
        </w:tc>
        <w:tc>
          <w:tcPr>
            <w:tcW w:w="992"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276"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418" w:type="dxa"/>
            <w:tcBorders>
              <w:top w:val="double" w:color="auto" w:sz="6" w:space="0"/>
              <w:bottom w:val="single" w:color="auto" w:sz="6" w:space="0"/>
            </w:tcBorders>
            <w:vAlign w:val="center"/>
          </w:tcPr>
          <w:p>
            <w:pPr>
              <w:pStyle w:val="18"/>
              <w:keepNext/>
              <w:spacing w:line="360" w:lineRule="exact"/>
              <w:ind w:left="63" w:right="63"/>
              <w:rPr>
                <w:kern w:val="2"/>
              </w:rPr>
            </w:pPr>
          </w:p>
        </w:tc>
        <w:tc>
          <w:tcPr>
            <w:tcW w:w="940" w:type="dxa"/>
            <w:tcBorders>
              <w:top w:val="double" w:color="auto" w:sz="6" w:space="0"/>
              <w:bottom w:val="single" w:color="auto" w:sz="6" w:space="0"/>
            </w:tcBorders>
            <w:vAlign w:val="center"/>
          </w:tcPr>
          <w:p>
            <w:pPr>
              <w:pStyle w:val="18"/>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044" w:type="dxa"/>
            <w:tcBorders>
              <w:top w:val="double" w:color="auto" w:sz="6" w:space="0"/>
              <w:bottom w:val="single" w:color="auto" w:sz="6" w:space="0"/>
            </w:tcBorders>
            <w:vAlign w:val="center"/>
          </w:tcPr>
          <w:p>
            <w:pPr>
              <w:pStyle w:val="18"/>
              <w:keepNext/>
              <w:spacing w:line="360" w:lineRule="exact"/>
              <w:ind w:left="63" w:right="63"/>
              <w:rPr>
                <w:kern w:val="2"/>
              </w:rPr>
            </w:pPr>
          </w:p>
        </w:tc>
        <w:tc>
          <w:tcPr>
            <w:tcW w:w="992" w:type="dxa"/>
            <w:tcBorders>
              <w:top w:val="double" w:color="auto" w:sz="6" w:space="0"/>
              <w:bottom w:val="single" w:color="auto" w:sz="6" w:space="0"/>
            </w:tcBorders>
            <w:vAlign w:val="center"/>
          </w:tcPr>
          <w:p>
            <w:pPr>
              <w:pStyle w:val="18"/>
              <w:keepNext/>
              <w:spacing w:line="360" w:lineRule="exact"/>
              <w:ind w:left="63" w:right="63"/>
              <w:rPr>
                <w:kern w:val="2"/>
              </w:rPr>
            </w:pPr>
          </w:p>
        </w:tc>
        <w:tc>
          <w:tcPr>
            <w:tcW w:w="851"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487" w:type="dxa"/>
            <w:tcBorders>
              <w:top w:val="double" w:color="auto" w:sz="6" w:space="0"/>
              <w:bottom w:val="single" w:color="auto" w:sz="6" w:space="0"/>
            </w:tcBorders>
            <w:vAlign w:val="center"/>
          </w:tcPr>
          <w:p>
            <w:pPr>
              <w:pStyle w:val="18"/>
              <w:keepNext/>
              <w:spacing w:line="360" w:lineRule="exact"/>
              <w:ind w:left="63" w:right="63"/>
              <w:rPr>
                <w:kern w:val="2"/>
              </w:rPr>
            </w:pPr>
          </w:p>
        </w:tc>
        <w:tc>
          <w:tcPr>
            <w:tcW w:w="992" w:type="dxa"/>
            <w:tcBorders>
              <w:top w:val="double" w:color="auto" w:sz="6" w:space="0"/>
              <w:bottom w:val="single" w:color="auto" w:sz="6" w:space="0"/>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8"/>
              <w:keepNext/>
              <w:spacing w:line="360" w:lineRule="exact"/>
              <w:ind w:left="63" w:right="63"/>
              <w:rPr>
                <w:kern w:val="2"/>
              </w:rPr>
            </w:pPr>
          </w:p>
        </w:tc>
        <w:tc>
          <w:tcPr>
            <w:tcW w:w="1276" w:type="dxa"/>
            <w:tcBorders>
              <w:top w:val="nil"/>
            </w:tcBorders>
            <w:vAlign w:val="center"/>
          </w:tcPr>
          <w:p>
            <w:pPr>
              <w:pStyle w:val="18"/>
              <w:keepNext/>
              <w:spacing w:line="360" w:lineRule="exact"/>
              <w:ind w:left="63" w:right="63"/>
              <w:rPr>
                <w:kern w:val="2"/>
              </w:rPr>
            </w:pPr>
          </w:p>
        </w:tc>
        <w:tc>
          <w:tcPr>
            <w:tcW w:w="1418" w:type="dxa"/>
            <w:tcBorders>
              <w:top w:val="nil"/>
            </w:tcBorders>
            <w:vAlign w:val="center"/>
          </w:tcPr>
          <w:p>
            <w:pPr>
              <w:pStyle w:val="18"/>
              <w:keepNext/>
              <w:spacing w:line="360" w:lineRule="exact"/>
              <w:ind w:left="63" w:right="63"/>
              <w:rPr>
                <w:kern w:val="2"/>
              </w:rPr>
            </w:pPr>
          </w:p>
        </w:tc>
        <w:tc>
          <w:tcPr>
            <w:tcW w:w="940" w:type="dxa"/>
            <w:tcBorders>
              <w:top w:val="nil"/>
            </w:tcBorders>
            <w:vAlign w:val="center"/>
          </w:tcPr>
          <w:p>
            <w:pPr>
              <w:pStyle w:val="18"/>
              <w:keepNext/>
              <w:spacing w:line="360" w:lineRule="exact"/>
              <w:ind w:left="63" w:right="63"/>
              <w:rPr>
                <w:kern w:val="2"/>
              </w:rPr>
            </w:pPr>
          </w:p>
        </w:tc>
        <w:tc>
          <w:tcPr>
            <w:tcW w:w="851" w:type="dxa"/>
            <w:tcBorders>
              <w:top w:val="nil"/>
            </w:tcBorders>
            <w:vAlign w:val="center"/>
          </w:tcPr>
          <w:p>
            <w:pPr>
              <w:pStyle w:val="18"/>
              <w:keepNext/>
              <w:spacing w:line="360" w:lineRule="exact"/>
              <w:ind w:left="63" w:right="63"/>
              <w:rPr>
                <w:kern w:val="2"/>
              </w:rPr>
            </w:pPr>
          </w:p>
        </w:tc>
        <w:tc>
          <w:tcPr>
            <w:tcW w:w="1044" w:type="dxa"/>
            <w:tcBorders>
              <w:top w:val="nil"/>
            </w:tcBorders>
            <w:vAlign w:val="center"/>
          </w:tcPr>
          <w:p>
            <w:pPr>
              <w:pStyle w:val="18"/>
              <w:keepNext/>
              <w:spacing w:line="360" w:lineRule="exact"/>
              <w:ind w:left="63" w:right="63"/>
              <w:rPr>
                <w:kern w:val="2"/>
              </w:rPr>
            </w:pPr>
          </w:p>
        </w:tc>
        <w:tc>
          <w:tcPr>
            <w:tcW w:w="992" w:type="dxa"/>
            <w:tcBorders>
              <w:top w:val="nil"/>
            </w:tcBorders>
            <w:vAlign w:val="center"/>
          </w:tcPr>
          <w:p>
            <w:pPr>
              <w:pStyle w:val="18"/>
              <w:keepNext/>
              <w:spacing w:line="360" w:lineRule="exact"/>
              <w:ind w:left="63" w:right="63"/>
              <w:rPr>
                <w:kern w:val="2"/>
              </w:rPr>
            </w:pPr>
          </w:p>
        </w:tc>
        <w:tc>
          <w:tcPr>
            <w:tcW w:w="851" w:type="dxa"/>
            <w:tcBorders>
              <w:top w:val="nil"/>
            </w:tcBorders>
            <w:vAlign w:val="center"/>
          </w:tcPr>
          <w:p>
            <w:pPr>
              <w:pStyle w:val="18"/>
              <w:keepNext/>
              <w:spacing w:line="360" w:lineRule="exact"/>
              <w:ind w:left="63" w:right="63"/>
              <w:rPr>
                <w:kern w:val="2"/>
              </w:rPr>
            </w:pPr>
          </w:p>
        </w:tc>
        <w:tc>
          <w:tcPr>
            <w:tcW w:w="1487" w:type="dxa"/>
            <w:tcBorders>
              <w:top w:val="nil"/>
            </w:tcBorders>
            <w:vAlign w:val="center"/>
          </w:tcPr>
          <w:p>
            <w:pPr>
              <w:pStyle w:val="18"/>
              <w:keepNext/>
              <w:spacing w:line="360" w:lineRule="exact"/>
              <w:ind w:left="63" w:right="63"/>
              <w:rPr>
                <w:kern w:val="2"/>
              </w:rPr>
            </w:pPr>
          </w:p>
        </w:tc>
        <w:tc>
          <w:tcPr>
            <w:tcW w:w="992" w:type="dxa"/>
            <w:tcBorders>
              <w:top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940"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044"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487"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940"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044"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487"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940"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044"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487"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940"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044"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487"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940"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044"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487"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940"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044"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487"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940"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044"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c>
          <w:tcPr>
            <w:tcW w:w="851" w:type="dxa"/>
            <w:vAlign w:val="center"/>
          </w:tcPr>
          <w:p>
            <w:pPr>
              <w:pStyle w:val="18"/>
              <w:keepNext/>
              <w:spacing w:line="360" w:lineRule="exact"/>
              <w:ind w:left="63" w:right="63"/>
              <w:rPr>
                <w:kern w:val="2"/>
              </w:rPr>
            </w:pPr>
          </w:p>
        </w:tc>
        <w:tc>
          <w:tcPr>
            <w:tcW w:w="1487" w:type="dxa"/>
            <w:vAlign w:val="center"/>
          </w:tcPr>
          <w:p>
            <w:pPr>
              <w:pStyle w:val="18"/>
              <w:keepNext/>
              <w:spacing w:line="360" w:lineRule="exact"/>
              <w:ind w:left="63" w:right="63"/>
              <w:rPr>
                <w:kern w:val="2"/>
              </w:rPr>
            </w:pPr>
          </w:p>
        </w:tc>
        <w:tc>
          <w:tcPr>
            <w:tcW w:w="99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851" w:type="dxa"/>
            <w:vAlign w:val="center"/>
          </w:tcPr>
          <w:p>
            <w:pPr>
              <w:spacing w:line="360" w:lineRule="exact"/>
              <w:ind w:firstLine="480"/>
              <w:jc w:val="center"/>
              <w:rPr>
                <w:rFonts w:ascii="宋体" w:hAnsi="宋体"/>
                <w:sz w:val="24"/>
              </w:rPr>
            </w:pPr>
          </w:p>
        </w:tc>
        <w:tc>
          <w:tcPr>
            <w:tcW w:w="1276" w:type="dxa"/>
            <w:vAlign w:val="center"/>
          </w:tcPr>
          <w:p>
            <w:pPr>
              <w:spacing w:line="360" w:lineRule="exact"/>
              <w:ind w:firstLine="480"/>
              <w:jc w:val="center"/>
              <w:rPr>
                <w:rFonts w:ascii="宋体" w:hAnsi="宋体"/>
                <w:sz w:val="24"/>
              </w:rPr>
            </w:pPr>
          </w:p>
        </w:tc>
        <w:tc>
          <w:tcPr>
            <w:tcW w:w="1418" w:type="dxa"/>
            <w:vAlign w:val="center"/>
          </w:tcPr>
          <w:p>
            <w:pPr>
              <w:spacing w:line="360" w:lineRule="exact"/>
              <w:ind w:firstLine="480"/>
              <w:jc w:val="center"/>
              <w:rPr>
                <w:rFonts w:ascii="宋体" w:hAnsi="宋体"/>
                <w:sz w:val="24"/>
              </w:rPr>
            </w:pPr>
          </w:p>
        </w:tc>
        <w:tc>
          <w:tcPr>
            <w:tcW w:w="940"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044"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c>
          <w:tcPr>
            <w:tcW w:w="851" w:type="dxa"/>
            <w:vAlign w:val="center"/>
          </w:tcPr>
          <w:p>
            <w:pPr>
              <w:spacing w:line="360" w:lineRule="exact"/>
              <w:ind w:firstLine="480"/>
              <w:jc w:val="center"/>
              <w:rPr>
                <w:rFonts w:ascii="宋体" w:hAnsi="宋体"/>
                <w:sz w:val="24"/>
              </w:rPr>
            </w:pPr>
          </w:p>
        </w:tc>
        <w:tc>
          <w:tcPr>
            <w:tcW w:w="1487" w:type="dxa"/>
            <w:vAlign w:val="center"/>
          </w:tcPr>
          <w:p>
            <w:pPr>
              <w:spacing w:line="360" w:lineRule="exact"/>
              <w:ind w:firstLine="480"/>
              <w:jc w:val="center"/>
              <w:rPr>
                <w:rFonts w:ascii="宋体" w:hAnsi="宋体"/>
                <w:sz w:val="24"/>
              </w:rPr>
            </w:pPr>
          </w:p>
        </w:tc>
        <w:tc>
          <w:tcPr>
            <w:tcW w:w="992" w:type="dxa"/>
            <w:vAlign w:val="center"/>
          </w:tcPr>
          <w:p>
            <w:pPr>
              <w:spacing w:line="360" w:lineRule="exact"/>
              <w:ind w:firstLine="480"/>
              <w:jc w:val="center"/>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t>附</w:t>
      </w:r>
      <w:bookmarkStart w:id="1076" w:name="_Toc296891266"/>
      <w:bookmarkStart w:id="1077" w:name="_Toc267261693"/>
      <w:bookmarkStart w:id="1078" w:name="_Toc296944565"/>
      <w:bookmarkStart w:id="1079" w:name="_Toc296346727"/>
      <w:bookmarkStart w:id="1080" w:name="_Toc296891054"/>
      <w:bookmarkStart w:id="1081" w:name="_Toc296503226"/>
      <w:bookmarkStart w:id="1082" w:name="_Toc296347225"/>
      <w:r>
        <w:rPr>
          <w:rFonts w:ascii="宋体" w:hAnsi="宋体"/>
          <w:sz w:val="24"/>
        </w:rPr>
        <w:t>件3：</w:t>
      </w:r>
      <w:bookmarkEnd w:id="1076"/>
      <w:bookmarkEnd w:id="1077"/>
      <w:bookmarkEnd w:id="1078"/>
      <w:bookmarkEnd w:id="1079"/>
      <w:bookmarkEnd w:id="1080"/>
      <w:bookmarkEnd w:id="1081"/>
      <w:bookmarkEnd w:id="1082"/>
    </w:p>
    <w:p>
      <w:pPr>
        <w:spacing w:line="360" w:lineRule="exact"/>
        <w:ind w:firstLine="482"/>
        <w:jc w:val="center"/>
        <w:rPr>
          <w:rFonts w:ascii="宋体" w:hAnsi="宋体"/>
          <w:b/>
          <w:sz w:val="24"/>
          <w:lang w:bidi="en-US"/>
        </w:rPr>
      </w:pPr>
      <w:bookmarkStart w:id="1083" w:name="_Toc461640064"/>
      <w:r>
        <w:rPr>
          <w:rFonts w:hint="eastAsia" w:ascii="宋体" w:hAnsi="宋体"/>
          <w:b/>
          <w:sz w:val="24"/>
          <w:lang w:bidi="en-US"/>
        </w:rPr>
        <w:t>房屋建筑工程质量保修书</w:t>
      </w:r>
      <w:bookmarkEnd w:id="1083"/>
    </w:p>
    <w:p>
      <w:pPr>
        <w:spacing w:line="360" w:lineRule="exact"/>
        <w:ind w:firstLine="480"/>
        <w:rPr>
          <w:rFonts w:ascii="宋体" w:hAnsi="宋体"/>
          <w:sz w:val="24"/>
        </w:rPr>
      </w:pPr>
      <w:r>
        <w:rPr>
          <w:rFonts w:hint="eastAsia" w:ascii="宋体" w:hAnsi="宋体"/>
          <w:sz w:val="24"/>
        </w:rPr>
        <w:t>发包人（全称）：</w:t>
      </w:r>
    </w:p>
    <w:p>
      <w:pPr>
        <w:spacing w:line="360" w:lineRule="exact"/>
        <w:ind w:firstLine="480"/>
        <w:rPr>
          <w:rFonts w:ascii="宋体" w:hAnsi="宋体"/>
          <w:sz w:val="24"/>
          <w:u w:val="single"/>
        </w:rPr>
      </w:pPr>
      <w:r>
        <w:rPr>
          <w:rFonts w:hint="eastAsia" w:ascii="宋体" w:hAnsi="宋体"/>
          <w:sz w:val="24"/>
        </w:rPr>
        <w:t>承包人（全称）：</w:t>
      </w:r>
    </w:p>
    <w:p>
      <w:pPr>
        <w:spacing w:line="360" w:lineRule="exact"/>
        <w:ind w:firstLine="480"/>
        <w:rPr>
          <w:rFonts w:ascii="宋体" w:hAnsi="宋体"/>
          <w:sz w:val="24"/>
        </w:rPr>
      </w:pPr>
      <w:r>
        <w:rPr>
          <w:rFonts w:hint="eastAsia" w:ascii="宋体" w:hAnsi="宋体"/>
          <w:sz w:val="24"/>
        </w:rPr>
        <w:t>发包人、承包人根据《中华人民共和国建筑法》、《建设工程质量管理条例》和《房屋建筑工程质量保修办法》，经协商一致，对签订工程质量保修书。</w:t>
      </w:r>
    </w:p>
    <w:p>
      <w:pPr>
        <w:spacing w:line="360" w:lineRule="exact"/>
        <w:ind w:firstLine="480"/>
        <w:rPr>
          <w:rFonts w:ascii="宋体" w:hAnsi="宋体"/>
          <w:sz w:val="24"/>
        </w:rPr>
      </w:pPr>
      <w:r>
        <w:rPr>
          <w:rFonts w:hint="eastAsia" w:ascii="宋体" w:hAnsi="宋体"/>
          <w:sz w:val="24"/>
        </w:rPr>
        <w:t>1、工程质量保修范围和内容</w:t>
      </w:r>
    </w:p>
    <w:p>
      <w:pPr>
        <w:spacing w:line="360" w:lineRule="exact"/>
        <w:ind w:firstLine="480"/>
        <w:rPr>
          <w:rFonts w:ascii="宋体" w:hAnsi="宋体"/>
          <w:sz w:val="24"/>
        </w:rPr>
      </w:pPr>
      <w:r>
        <w:rPr>
          <w:rFonts w:hint="eastAsia" w:ascii="宋体" w:hAnsi="宋体"/>
          <w:sz w:val="24"/>
        </w:rPr>
        <w:t>承包人在质量保修期内，按照有关法律、法规、规章规定和双方约定，承担本工程质量保修责任。</w:t>
      </w:r>
    </w:p>
    <w:p>
      <w:pPr>
        <w:spacing w:line="360" w:lineRule="exact"/>
        <w:ind w:firstLine="480"/>
        <w:rPr>
          <w:rFonts w:ascii="宋体" w:hAnsi="宋体"/>
          <w:sz w:val="24"/>
        </w:rPr>
      </w:pPr>
      <w:r>
        <w:rPr>
          <w:rFonts w:hint="eastAsia" w:ascii="宋体" w:hAnsi="宋体"/>
          <w:sz w:val="24"/>
        </w:rPr>
        <w:t>质量保修范围包括合同范围内的全部施工项目以及双方约定的其他项目。具体保修的内容，双方约定如下：</w:t>
      </w:r>
    </w:p>
    <w:p>
      <w:pPr>
        <w:spacing w:line="360" w:lineRule="exact"/>
        <w:ind w:firstLine="480"/>
        <w:rPr>
          <w:rFonts w:ascii="宋体" w:hAnsi="宋体"/>
          <w:sz w:val="24"/>
        </w:rPr>
      </w:pPr>
      <w:r>
        <w:rPr>
          <w:rFonts w:hint="eastAsia" w:ascii="宋体" w:hAnsi="宋体"/>
          <w:sz w:val="24"/>
        </w:rPr>
        <w:t>合同图纸及工程量清单以及设计变更、工程洽商变更所引发的变更工程项目的全部内容。</w:t>
      </w:r>
    </w:p>
    <w:p>
      <w:pPr>
        <w:spacing w:line="360" w:lineRule="exact"/>
        <w:ind w:firstLine="480"/>
        <w:rPr>
          <w:rFonts w:ascii="宋体" w:hAnsi="宋体"/>
          <w:sz w:val="24"/>
        </w:rPr>
      </w:pPr>
      <w:r>
        <w:rPr>
          <w:rFonts w:hint="eastAsia" w:ascii="宋体" w:hAnsi="宋体"/>
          <w:sz w:val="24"/>
        </w:rPr>
        <w:t>2、质量保修期</w:t>
      </w:r>
    </w:p>
    <w:p>
      <w:pPr>
        <w:spacing w:line="360" w:lineRule="exact"/>
        <w:ind w:firstLine="480"/>
        <w:rPr>
          <w:rFonts w:ascii="宋体" w:hAnsi="宋体"/>
          <w:sz w:val="24"/>
        </w:rPr>
      </w:pPr>
      <w:r>
        <w:rPr>
          <w:rFonts w:hint="eastAsia" w:ascii="宋体" w:hAnsi="宋体"/>
          <w:sz w:val="24"/>
        </w:rPr>
        <w:t>2.1双方根据《建设工程质量管理条例》及有关规定，约定本工程的质量保修期如下：</w:t>
      </w:r>
    </w:p>
    <w:p>
      <w:pPr>
        <w:spacing w:line="360" w:lineRule="exact"/>
        <w:ind w:firstLine="480"/>
        <w:rPr>
          <w:rFonts w:ascii="宋体" w:hAnsi="宋体"/>
          <w:sz w:val="24"/>
        </w:rPr>
      </w:pPr>
      <w:r>
        <w:rPr>
          <w:rFonts w:hint="eastAsia" w:ascii="宋体" w:hAnsi="宋体"/>
          <w:sz w:val="24"/>
        </w:rPr>
        <w:t>(1)地基基础工程和主体结构以及道路工程为设计文件规定的该工程合理使用年限；</w:t>
      </w:r>
    </w:p>
    <w:p>
      <w:pPr>
        <w:spacing w:line="360" w:lineRule="exact"/>
        <w:ind w:firstLine="480"/>
        <w:rPr>
          <w:rFonts w:ascii="宋体" w:hAnsi="宋体"/>
          <w:sz w:val="24"/>
        </w:rPr>
      </w:pPr>
      <w:r>
        <w:rPr>
          <w:rFonts w:hint="eastAsia" w:ascii="宋体" w:hAnsi="宋体"/>
          <w:sz w:val="24"/>
        </w:rPr>
        <w:t>(2)屋面防水工程、有防水要求的卫生间、房间和外墙面的防渗漏为5年；</w:t>
      </w:r>
    </w:p>
    <w:p>
      <w:pPr>
        <w:spacing w:line="360" w:lineRule="exact"/>
        <w:ind w:firstLine="480"/>
        <w:rPr>
          <w:rFonts w:ascii="宋体" w:hAnsi="宋体"/>
          <w:sz w:val="24"/>
        </w:rPr>
      </w:pPr>
      <w:r>
        <w:rPr>
          <w:rFonts w:hint="eastAsia" w:ascii="宋体" w:hAnsi="宋体"/>
          <w:sz w:val="24"/>
        </w:rPr>
        <w:t>(3)装修工程为2年；</w:t>
      </w:r>
    </w:p>
    <w:p>
      <w:pPr>
        <w:spacing w:line="360" w:lineRule="exact"/>
        <w:ind w:firstLine="480"/>
        <w:rPr>
          <w:rFonts w:ascii="宋体" w:hAnsi="宋体"/>
          <w:sz w:val="24"/>
        </w:rPr>
      </w:pPr>
      <w:r>
        <w:rPr>
          <w:rFonts w:hint="eastAsia" w:ascii="宋体" w:hAnsi="宋体"/>
          <w:sz w:val="24"/>
        </w:rPr>
        <w:t>(4)电气管线、给排水管道、设备安装工程为2年；</w:t>
      </w:r>
    </w:p>
    <w:p>
      <w:pPr>
        <w:spacing w:line="360" w:lineRule="exact"/>
        <w:ind w:firstLine="480"/>
        <w:rPr>
          <w:rFonts w:ascii="宋体" w:hAnsi="宋体"/>
          <w:sz w:val="24"/>
        </w:rPr>
      </w:pPr>
      <w:r>
        <w:rPr>
          <w:rFonts w:hint="eastAsia" w:ascii="宋体" w:hAnsi="宋体"/>
          <w:sz w:val="24"/>
        </w:rPr>
        <w:t>(5)供热与供冷系统为个2采暖期、供冷期；</w:t>
      </w:r>
    </w:p>
    <w:p>
      <w:pPr>
        <w:spacing w:line="360" w:lineRule="exact"/>
        <w:ind w:firstLine="480"/>
        <w:rPr>
          <w:rFonts w:ascii="宋体" w:hAnsi="宋体"/>
          <w:sz w:val="24"/>
        </w:rPr>
      </w:pPr>
      <w:r>
        <w:rPr>
          <w:rFonts w:hint="eastAsia" w:ascii="宋体" w:hAnsi="宋体"/>
          <w:sz w:val="24"/>
        </w:rPr>
        <w:t>(6)住宅小区内的给排水设施、道路等配套工程为2年；</w:t>
      </w:r>
    </w:p>
    <w:p>
      <w:pPr>
        <w:spacing w:line="360" w:lineRule="exact"/>
        <w:ind w:firstLine="480"/>
        <w:rPr>
          <w:rFonts w:ascii="宋体" w:hAnsi="宋体"/>
          <w:sz w:val="24"/>
        </w:rPr>
      </w:pPr>
      <w:r>
        <w:rPr>
          <w:rFonts w:hint="eastAsia" w:ascii="宋体" w:hAnsi="宋体"/>
          <w:sz w:val="24"/>
        </w:rPr>
        <w:t>(7)其他项目保修期限约定如下：未明确列出的项目按照《建设工程质量管理条例》中的规定保修。</w:t>
      </w:r>
    </w:p>
    <w:p>
      <w:pPr>
        <w:spacing w:line="360" w:lineRule="exact"/>
        <w:ind w:firstLine="480"/>
        <w:rPr>
          <w:rFonts w:ascii="宋体" w:hAnsi="宋体"/>
          <w:sz w:val="24"/>
        </w:rPr>
      </w:pPr>
      <w:r>
        <w:rPr>
          <w:rFonts w:hint="eastAsia" w:ascii="宋体" w:hAnsi="宋体"/>
          <w:sz w:val="24"/>
        </w:rPr>
        <w:t>2.2质量保修期自工程竣工验收合格之日起计算。</w:t>
      </w:r>
    </w:p>
    <w:p>
      <w:pPr>
        <w:spacing w:line="360" w:lineRule="exact"/>
        <w:ind w:firstLine="480"/>
        <w:rPr>
          <w:rFonts w:ascii="宋体" w:hAnsi="宋体"/>
          <w:sz w:val="24"/>
        </w:rPr>
      </w:pPr>
      <w:r>
        <w:rPr>
          <w:rFonts w:hint="eastAsia" w:ascii="宋体" w:hAnsi="宋体"/>
          <w:sz w:val="24"/>
        </w:rPr>
        <w:t>3、质量保修责任</w:t>
      </w:r>
    </w:p>
    <w:p>
      <w:pPr>
        <w:spacing w:line="360" w:lineRule="exact"/>
        <w:ind w:firstLine="480"/>
        <w:rPr>
          <w:rFonts w:ascii="宋体" w:hAnsi="宋体"/>
          <w:sz w:val="24"/>
        </w:rPr>
      </w:pPr>
      <w:r>
        <w:rPr>
          <w:rFonts w:hint="eastAsia" w:ascii="宋体" w:hAnsi="宋体"/>
          <w:sz w:val="24"/>
        </w:rPr>
        <w:t>3.1属于保修范围、内容的项目，承包人应当在接到保修通知之日起2日内派人保修。承包人不在约定期限内派人保修或同一事项两次维修不能达到要求的，发包人可以委托他人修理，</w:t>
      </w:r>
      <w:r>
        <w:rPr>
          <w:rFonts w:ascii="宋体" w:hAnsi="宋体"/>
          <w:sz w:val="24"/>
        </w:rPr>
        <w:t>相关维修款从相关质保金中扣除</w:t>
      </w:r>
      <w:r>
        <w:rPr>
          <w:rFonts w:hint="eastAsia" w:ascii="宋体" w:hAnsi="宋体"/>
          <w:sz w:val="24"/>
        </w:rPr>
        <w:t>。</w:t>
      </w:r>
    </w:p>
    <w:p>
      <w:pPr>
        <w:spacing w:line="360" w:lineRule="exact"/>
        <w:ind w:firstLine="480"/>
        <w:rPr>
          <w:rFonts w:ascii="宋体" w:hAnsi="宋体"/>
          <w:sz w:val="24"/>
        </w:rPr>
      </w:pPr>
      <w:r>
        <w:rPr>
          <w:rFonts w:hint="eastAsia" w:ascii="宋体" w:hAnsi="宋体"/>
          <w:sz w:val="24"/>
        </w:rPr>
        <w:t>3.2发生紧急抢修事故的，承包人在接到事故通知后，应当立即(2小时内)到达事故现场抢修。</w:t>
      </w:r>
    </w:p>
    <w:p>
      <w:pPr>
        <w:spacing w:line="360" w:lineRule="exact"/>
        <w:ind w:firstLine="480"/>
        <w:rPr>
          <w:rFonts w:ascii="宋体" w:hAnsi="宋体"/>
          <w:sz w:val="24"/>
        </w:rPr>
      </w:pPr>
      <w:r>
        <w:rPr>
          <w:rFonts w:hint="eastAsia" w:ascii="宋体" w:hAnsi="宋体"/>
          <w:sz w:val="24"/>
        </w:rPr>
        <w:t>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exact"/>
        <w:ind w:firstLine="480"/>
        <w:rPr>
          <w:rFonts w:ascii="宋体" w:hAnsi="宋体"/>
          <w:sz w:val="24"/>
        </w:rPr>
      </w:pPr>
      <w:r>
        <w:rPr>
          <w:rFonts w:hint="eastAsia" w:ascii="宋体" w:hAnsi="宋体"/>
          <w:sz w:val="24"/>
        </w:rPr>
        <w:t>3.4质量保修完成后，由发包人组织验收。</w:t>
      </w:r>
    </w:p>
    <w:p>
      <w:pPr>
        <w:spacing w:line="360" w:lineRule="exact"/>
        <w:ind w:firstLine="480"/>
        <w:rPr>
          <w:rFonts w:ascii="宋体" w:hAnsi="宋体"/>
          <w:sz w:val="24"/>
        </w:rPr>
      </w:pPr>
      <w:r>
        <w:rPr>
          <w:rFonts w:hint="eastAsia" w:ascii="宋体" w:hAnsi="宋体"/>
          <w:sz w:val="24"/>
        </w:rPr>
        <w:t>4、保修费用</w:t>
      </w:r>
    </w:p>
    <w:p>
      <w:pPr>
        <w:spacing w:line="360" w:lineRule="exact"/>
        <w:ind w:firstLine="480"/>
        <w:rPr>
          <w:rFonts w:ascii="宋体" w:hAnsi="宋体"/>
          <w:sz w:val="24"/>
        </w:rPr>
      </w:pPr>
      <w:r>
        <w:rPr>
          <w:rFonts w:hint="eastAsia" w:ascii="宋体" w:hAnsi="宋体"/>
          <w:sz w:val="24"/>
        </w:rPr>
        <w:t>4.1保修费用由造成质量缺陷的责任方承担。</w:t>
      </w:r>
    </w:p>
    <w:p>
      <w:pPr>
        <w:spacing w:line="360" w:lineRule="exact"/>
        <w:ind w:firstLine="480"/>
        <w:rPr>
          <w:rFonts w:ascii="宋体" w:hAnsi="宋体"/>
          <w:sz w:val="24"/>
        </w:rPr>
      </w:pPr>
      <w:r>
        <w:rPr>
          <w:rFonts w:hint="eastAsia" w:ascii="宋体" w:hAnsi="宋体"/>
          <w:sz w:val="24"/>
        </w:rPr>
        <w:t>5、其他</w:t>
      </w:r>
    </w:p>
    <w:p>
      <w:pPr>
        <w:spacing w:line="360" w:lineRule="exact"/>
        <w:ind w:firstLine="480"/>
        <w:rPr>
          <w:rFonts w:ascii="宋体" w:hAnsi="宋体"/>
          <w:sz w:val="24"/>
        </w:rPr>
      </w:pPr>
      <w:r>
        <w:rPr>
          <w:rFonts w:hint="eastAsia" w:ascii="宋体" w:hAnsi="宋体"/>
          <w:sz w:val="24"/>
        </w:rPr>
        <w:t>5.1双方约定的其他工程质量保修事项：保修款总额为工程结算总造价的5%（合同范围内的项目），自验收合格之日起满2年支付保修款。</w:t>
      </w:r>
    </w:p>
    <w:p>
      <w:pPr>
        <w:spacing w:line="360" w:lineRule="exact"/>
        <w:ind w:firstLine="480"/>
        <w:rPr>
          <w:rFonts w:ascii="宋体" w:hAnsi="宋体"/>
          <w:sz w:val="24"/>
        </w:rPr>
      </w:pPr>
      <w:r>
        <w:rPr>
          <w:rFonts w:hint="eastAsia" w:ascii="宋体" w:hAnsi="宋体"/>
          <w:sz w:val="24"/>
        </w:rPr>
        <w:t>5.2本工程质量保修书，由施工合同发包人、承包人双方在竣工验收前共同签署，作为施工合同附件，其有效期限至保修期满。</w:t>
      </w:r>
    </w:p>
    <w:p>
      <w:pPr>
        <w:spacing w:line="360" w:lineRule="exact"/>
        <w:ind w:firstLine="480"/>
        <w:rPr>
          <w:rFonts w:ascii="宋体" w:hAnsi="宋体"/>
          <w:sz w:val="24"/>
        </w:rPr>
      </w:pPr>
      <w:r>
        <w:rPr>
          <w:rFonts w:hint="eastAsia" w:ascii="宋体" w:hAnsi="宋体"/>
          <w:sz w:val="24"/>
        </w:rPr>
        <w:t>5.3保修期内如对工程进行的维修，在维修项目的相应保修期从维修结束且合格时期重新计算。</w:t>
      </w:r>
    </w:p>
    <w:p>
      <w:pPr>
        <w:spacing w:line="360" w:lineRule="exact"/>
        <w:ind w:firstLine="480"/>
        <w:rPr>
          <w:rFonts w:ascii="宋体" w:hAnsi="宋体"/>
          <w:sz w:val="24"/>
        </w:rPr>
      </w:pPr>
      <w:r>
        <w:rPr>
          <w:rFonts w:hint="eastAsia" w:ascii="宋体" w:hAnsi="宋体"/>
          <w:sz w:val="24"/>
        </w:rPr>
        <w:t>5.4承包人应派驻施工中从事过本工程的管理人员成为本工程的专职保修维护管理人员，并在工程验收合格起7日内上报保修人员名单。</w:t>
      </w:r>
    </w:p>
    <w:p>
      <w:pPr>
        <w:spacing w:line="360" w:lineRule="exact"/>
        <w:ind w:firstLine="480"/>
        <w:rPr>
          <w:rFonts w:ascii="宋体" w:hAnsi="宋体"/>
          <w:sz w:val="24"/>
        </w:rPr>
      </w:pPr>
      <w:r>
        <w:rPr>
          <w:rFonts w:hint="eastAsia" w:ascii="宋体" w:hAnsi="宋体"/>
          <w:sz w:val="24"/>
        </w:rPr>
        <w:t>5.5保修人员应当负责保修完毕后的现场清理，若未进行及时的清理，发包人可委托第三方进行清理，其费用由承包人负担。</w:t>
      </w:r>
    </w:p>
    <w:p>
      <w:pPr>
        <w:spacing w:line="360" w:lineRule="exact"/>
        <w:ind w:firstLine="480"/>
        <w:rPr>
          <w:rFonts w:ascii="宋体" w:hAnsi="宋体"/>
          <w:sz w:val="24"/>
        </w:rPr>
      </w:pPr>
      <w:r>
        <w:rPr>
          <w:rFonts w:hint="eastAsia" w:ascii="宋体" w:hAnsi="宋体"/>
          <w:sz w:val="24"/>
        </w:rPr>
        <w:t>5.6保修期间维修完毕后，应由监理工程师及发包人代表在《验收单》上签字。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发包人（公章）： 承包人（公章）：</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法定代表人（签字）： 法定代表人（签字）：</w:t>
      </w: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年  月  日</w:t>
      </w:r>
      <w:r>
        <w:rPr>
          <w:rFonts w:hint="eastAsia" w:ascii="宋体" w:hAnsi="宋体"/>
          <w:sz w:val="24"/>
        </w:rPr>
        <w:tab/>
      </w:r>
      <w:r>
        <w:rPr>
          <w:rFonts w:hint="eastAsia" w:ascii="宋体" w:hAnsi="宋体"/>
          <w:sz w:val="24"/>
        </w:rPr>
        <w:t>年  月  日</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br w:type="page"/>
      </w:r>
      <w:r>
        <w:rPr>
          <w:rFonts w:ascii="宋体" w:hAnsi="宋体"/>
          <w:sz w:val="24"/>
        </w:rPr>
        <w:t>附件4：</w:t>
      </w:r>
    </w:p>
    <w:p>
      <w:pPr>
        <w:spacing w:beforeLines="50" w:afterLines="50" w:line="360" w:lineRule="exact"/>
        <w:ind w:firstLine="480"/>
        <w:jc w:val="center"/>
        <w:rPr>
          <w:rFonts w:ascii="宋体" w:hAnsi="宋体"/>
          <w:sz w:val="24"/>
        </w:rPr>
      </w:pPr>
      <w:r>
        <w:rPr>
          <w:rFonts w:ascii="宋体" w:hAnsi="宋体"/>
          <w:sz w:val="24"/>
        </w:rPr>
        <w:t>主要建设工程文件目录</w:t>
      </w:r>
    </w:p>
    <w:tbl>
      <w:tblPr>
        <w:tblStyle w:val="41"/>
        <w:tblW w:w="90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文件名称</w:t>
            </w:r>
          </w:p>
        </w:tc>
        <w:tc>
          <w:tcPr>
            <w:tcW w:w="1276"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套数</w:t>
            </w:r>
          </w:p>
        </w:tc>
        <w:tc>
          <w:tcPr>
            <w:tcW w:w="1450"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费用</w:t>
            </w:r>
            <w:r>
              <w:rPr>
                <w:rFonts w:hint="eastAsia"/>
                <w:kern w:val="2"/>
              </w:rPr>
              <w:t>（元）</w:t>
            </w:r>
          </w:p>
        </w:tc>
        <w:tc>
          <w:tcPr>
            <w:tcW w:w="1243"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质量</w:t>
            </w:r>
          </w:p>
        </w:tc>
        <w:tc>
          <w:tcPr>
            <w:tcW w:w="1450" w:type="dxa"/>
            <w:tcBorders>
              <w:top w:val="single" w:color="auto" w:sz="12" w:space="0"/>
              <w:bottom w:val="double" w:color="auto" w:sz="6" w:space="0"/>
            </w:tcBorders>
          </w:tcPr>
          <w:p>
            <w:pPr>
              <w:spacing w:line="360" w:lineRule="exact"/>
              <w:ind w:firstLine="480"/>
              <w:jc w:val="center"/>
              <w:rPr>
                <w:rFonts w:ascii="宋体" w:hAnsi="宋体"/>
                <w:sz w:val="24"/>
              </w:rPr>
            </w:pPr>
            <w:r>
              <w:rPr>
                <w:rFonts w:ascii="宋体" w:hAnsi="宋体"/>
                <w:sz w:val="24"/>
              </w:rPr>
              <w:t>移交时间</w:t>
            </w:r>
          </w:p>
        </w:tc>
        <w:tc>
          <w:tcPr>
            <w:tcW w:w="1667" w:type="dxa"/>
            <w:tcBorders>
              <w:top w:val="single" w:color="auto" w:sz="12" w:space="0"/>
              <w:bottom w:val="double" w:color="auto" w:sz="6" w:space="0"/>
            </w:tcBorders>
          </w:tcPr>
          <w:p>
            <w:pPr>
              <w:spacing w:line="360" w:lineRule="exact"/>
              <w:ind w:firstLine="480"/>
              <w:jc w:val="center"/>
              <w:rPr>
                <w:rFonts w:ascii="宋体" w:hAnsi="宋体"/>
                <w:sz w:val="24"/>
              </w:rPr>
            </w:pPr>
            <w:r>
              <w:rPr>
                <w:rFonts w:ascii="宋体" w:hAnsi="宋体"/>
                <w:sz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276"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450"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243"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450"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667" w:type="dxa"/>
            <w:tcBorders>
              <w:top w:val="double" w:color="auto" w:sz="6" w:space="0"/>
              <w:bottom w:val="single" w:color="auto" w:sz="6" w:space="0"/>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8"/>
              <w:keepNext/>
              <w:spacing w:line="360" w:lineRule="exact"/>
              <w:ind w:left="63" w:right="63"/>
              <w:rPr>
                <w:kern w:val="2"/>
              </w:rPr>
            </w:pPr>
          </w:p>
        </w:tc>
        <w:tc>
          <w:tcPr>
            <w:tcW w:w="1276" w:type="dxa"/>
            <w:tcBorders>
              <w:top w:val="nil"/>
            </w:tcBorders>
            <w:vAlign w:val="center"/>
          </w:tcPr>
          <w:p>
            <w:pPr>
              <w:pStyle w:val="18"/>
              <w:keepNext/>
              <w:spacing w:line="360" w:lineRule="exact"/>
              <w:ind w:left="63" w:right="63"/>
              <w:rPr>
                <w:kern w:val="2"/>
              </w:rPr>
            </w:pPr>
          </w:p>
        </w:tc>
        <w:tc>
          <w:tcPr>
            <w:tcW w:w="1450" w:type="dxa"/>
            <w:tcBorders>
              <w:top w:val="nil"/>
            </w:tcBorders>
            <w:vAlign w:val="center"/>
          </w:tcPr>
          <w:p>
            <w:pPr>
              <w:pStyle w:val="18"/>
              <w:keepNext/>
              <w:spacing w:line="360" w:lineRule="exact"/>
              <w:ind w:left="63" w:right="63"/>
              <w:rPr>
                <w:kern w:val="2"/>
              </w:rPr>
            </w:pPr>
          </w:p>
        </w:tc>
        <w:tc>
          <w:tcPr>
            <w:tcW w:w="1243" w:type="dxa"/>
            <w:tcBorders>
              <w:top w:val="nil"/>
            </w:tcBorders>
            <w:vAlign w:val="center"/>
          </w:tcPr>
          <w:p>
            <w:pPr>
              <w:pStyle w:val="18"/>
              <w:keepNext/>
              <w:spacing w:line="360" w:lineRule="exact"/>
              <w:ind w:left="63" w:right="63"/>
              <w:rPr>
                <w:kern w:val="2"/>
              </w:rPr>
            </w:pPr>
          </w:p>
        </w:tc>
        <w:tc>
          <w:tcPr>
            <w:tcW w:w="1450" w:type="dxa"/>
            <w:tcBorders>
              <w:top w:val="nil"/>
            </w:tcBorders>
            <w:vAlign w:val="center"/>
          </w:tcPr>
          <w:p>
            <w:pPr>
              <w:pStyle w:val="18"/>
              <w:keepNext/>
              <w:spacing w:line="360" w:lineRule="exact"/>
              <w:ind w:left="63" w:right="63"/>
              <w:rPr>
                <w:kern w:val="2"/>
              </w:rPr>
            </w:pPr>
          </w:p>
        </w:tc>
        <w:tc>
          <w:tcPr>
            <w:tcW w:w="1667" w:type="dxa"/>
            <w:tcBorders>
              <w:top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243"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667"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243"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667"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243"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667"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243"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667"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243"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667"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243"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667"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vAlign w:val="center"/>
          </w:tcPr>
          <w:p>
            <w:pPr>
              <w:pStyle w:val="18"/>
              <w:keepNext/>
              <w:spacing w:line="360" w:lineRule="exact"/>
              <w:ind w:left="63" w:right="63"/>
              <w:rPr>
                <w:kern w:val="2"/>
              </w:rPr>
            </w:pPr>
          </w:p>
        </w:tc>
        <w:tc>
          <w:tcPr>
            <w:tcW w:w="1276"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243" w:type="dxa"/>
            <w:vAlign w:val="center"/>
          </w:tcPr>
          <w:p>
            <w:pPr>
              <w:pStyle w:val="18"/>
              <w:keepNext/>
              <w:spacing w:line="360" w:lineRule="exact"/>
              <w:ind w:left="63" w:right="63"/>
              <w:rPr>
                <w:kern w:val="2"/>
              </w:rPr>
            </w:pPr>
          </w:p>
        </w:tc>
        <w:tc>
          <w:tcPr>
            <w:tcW w:w="1450" w:type="dxa"/>
            <w:vAlign w:val="center"/>
          </w:tcPr>
          <w:p>
            <w:pPr>
              <w:pStyle w:val="18"/>
              <w:keepNext/>
              <w:spacing w:line="360" w:lineRule="exact"/>
              <w:ind w:left="63" w:right="63"/>
              <w:rPr>
                <w:kern w:val="2"/>
              </w:rPr>
            </w:pPr>
          </w:p>
        </w:tc>
        <w:tc>
          <w:tcPr>
            <w:tcW w:w="1667"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953" w:type="dxa"/>
          </w:tcPr>
          <w:p>
            <w:pPr>
              <w:spacing w:line="360" w:lineRule="exact"/>
              <w:ind w:firstLine="480"/>
              <w:rPr>
                <w:rFonts w:ascii="宋体" w:hAnsi="宋体"/>
                <w:sz w:val="24"/>
              </w:rPr>
            </w:pPr>
          </w:p>
        </w:tc>
        <w:tc>
          <w:tcPr>
            <w:tcW w:w="1276"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243" w:type="dxa"/>
          </w:tcPr>
          <w:p>
            <w:pPr>
              <w:spacing w:line="360" w:lineRule="exact"/>
              <w:ind w:firstLine="480"/>
              <w:rPr>
                <w:rFonts w:ascii="宋体" w:hAnsi="宋体"/>
                <w:sz w:val="24"/>
              </w:rPr>
            </w:pPr>
          </w:p>
        </w:tc>
        <w:tc>
          <w:tcPr>
            <w:tcW w:w="1450" w:type="dxa"/>
          </w:tcPr>
          <w:p>
            <w:pPr>
              <w:spacing w:line="360" w:lineRule="exact"/>
              <w:ind w:firstLine="480"/>
              <w:rPr>
                <w:rFonts w:ascii="宋体" w:hAnsi="宋体"/>
                <w:sz w:val="24"/>
              </w:rPr>
            </w:pPr>
          </w:p>
        </w:tc>
        <w:tc>
          <w:tcPr>
            <w:tcW w:w="1667" w:type="dxa"/>
          </w:tcPr>
          <w:p>
            <w:pPr>
              <w:spacing w:line="360" w:lineRule="exact"/>
              <w:ind w:firstLine="480"/>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br w:type="page"/>
      </w:r>
      <w:r>
        <w:rPr>
          <w:rFonts w:ascii="宋体" w:hAnsi="宋体"/>
          <w:sz w:val="24"/>
        </w:rPr>
        <w:t>附</w:t>
      </w:r>
      <w:bookmarkStart w:id="1084" w:name="_Toc267261698"/>
      <w:bookmarkStart w:id="1085" w:name="_Toc296346728"/>
      <w:bookmarkStart w:id="1086" w:name="_Toc296891267"/>
      <w:bookmarkStart w:id="1087" w:name="_Toc296347226"/>
      <w:bookmarkStart w:id="1088" w:name="_Toc296891055"/>
      <w:bookmarkStart w:id="1089" w:name="_Toc296944566"/>
      <w:bookmarkStart w:id="1090" w:name="_Toc296503227"/>
      <w:r>
        <w:rPr>
          <w:rFonts w:ascii="宋体" w:hAnsi="宋体"/>
          <w:sz w:val="24"/>
        </w:rPr>
        <w:t>件5：</w:t>
      </w:r>
    </w:p>
    <w:bookmarkEnd w:id="1084"/>
    <w:bookmarkEnd w:id="1085"/>
    <w:bookmarkEnd w:id="1086"/>
    <w:bookmarkEnd w:id="1087"/>
    <w:bookmarkEnd w:id="1088"/>
    <w:bookmarkEnd w:id="1089"/>
    <w:bookmarkEnd w:id="1090"/>
    <w:p>
      <w:pPr>
        <w:spacing w:beforeLines="50" w:afterLines="50" w:line="360" w:lineRule="exact"/>
        <w:ind w:firstLine="480"/>
        <w:jc w:val="center"/>
        <w:rPr>
          <w:rFonts w:ascii="宋体" w:hAnsi="宋体"/>
          <w:sz w:val="24"/>
        </w:rPr>
      </w:pPr>
      <w:r>
        <w:rPr>
          <w:rFonts w:ascii="宋体" w:hAnsi="宋体"/>
          <w:sz w:val="24"/>
        </w:rPr>
        <w:t>承包人用于本工程施工的机械设备表</w:t>
      </w:r>
    </w:p>
    <w:tbl>
      <w:tblPr>
        <w:tblStyle w:val="41"/>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序号</w:t>
            </w:r>
          </w:p>
        </w:tc>
        <w:tc>
          <w:tcPr>
            <w:tcW w:w="1418"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机械或设备名称</w:t>
            </w:r>
          </w:p>
        </w:tc>
        <w:tc>
          <w:tcPr>
            <w:tcW w:w="850"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规格型号</w:t>
            </w:r>
          </w:p>
        </w:tc>
        <w:tc>
          <w:tcPr>
            <w:tcW w:w="1058"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数量</w:t>
            </w:r>
          </w:p>
        </w:tc>
        <w:tc>
          <w:tcPr>
            <w:tcW w:w="880"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产地</w:t>
            </w:r>
          </w:p>
        </w:tc>
        <w:tc>
          <w:tcPr>
            <w:tcW w:w="1020"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制造年份</w:t>
            </w:r>
          </w:p>
        </w:tc>
        <w:tc>
          <w:tcPr>
            <w:tcW w:w="1480"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额定功率(kW)</w:t>
            </w:r>
          </w:p>
        </w:tc>
        <w:tc>
          <w:tcPr>
            <w:tcW w:w="1020"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生产能力</w:t>
            </w:r>
          </w:p>
        </w:tc>
        <w:tc>
          <w:tcPr>
            <w:tcW w:w="921"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418" w:type="dxa"/>
            <w:tcBorders>
              <w:top w:val="double" w:color="auto" w:sz="6" w:space="0"/>
              <w:bottom w:val="single" w:color="auto" w:sz="6" w:space="0"/>
            </w:tcBorders>
            <w:vAlign w:val="center"/>
          </w:tcPr>
          <w:p>
            <w:pPr>
              <w:pStyle w:val="18"/>
              <w:keepNext/>
              <w:spacing w:line="360" w:lineRule="exact"/>
              <w:ind w:left="63" w:right="63"/>
              <w:rPr>
                <w:kern w:val="2"/>
              </w:rPr>
            </w:pPr>
          </w:p>
        </w:tc>
        <w:tc>
          <w:tcPr>
            <w:tcW w:w="850"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058" w:type="dxa"/>
            <w:tcBorders>
              <w:top w:val="double" w:color="auto" w:sz="6" w:space="0"/>
              <w:bottom w:val="single" w:color="auto" w:sz="6" w:space="0"/>
            </w:tcBorders>
            <w:vAlign w:val="center"/>
          </w:tcPr>
          <w:p>
            <w:pPr>
              <w:pStyle w:val="18"/>
              <w:keepNext/>
              <w:spacing w:line="360" w:lineRule="exact"/>
              <w:ind w:left="63" w:right="63"/>
              <w:rPr>
                <w:kern w:val="2"/>
              </w:rPr>
            </w:pPr>
          </w:p>
        </w:tc>
        <w:tc>
          <w:tcPr>
            <w:tcW w:w="880"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020"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480" w:type="dxa"/>
            <w:tcBorders>
              <w:top w:val="double" w:color="auto" w:sz="6" w:space="0"/>
              <w:bottom w:val="single" w:color="auto" w:sz="6" w:space="0"/>
            </w:tcBorders>
            <w:vAlign w:val="center"/>
          </w:tcPr>
          <w:p>
            <w:pPr>
              <w:pStyle w:val="18"/>
              <w:keepNext/>
              <w:spacing w:line="360" w:lineRule="exact"/>
              <w:ind w:left="63" w:right="63"/>
              <w:rPr>
                <w:kern w:val="2"/>
              </w:rPr>
            </w:pPr>
          </w:p>
        </w:tc>
        <w:tc>
          <w:tcPr>
            <w:tcW w:w="1020" w:type="dxa"/>
            <w:tcBorders>
              <w:top w:val="double" w:color="auto" w:sz="6" w:space="0"/>
              <w:bottom w:val="single" w:color="auto" w:sz="6" w:space="0"/>
            </w:tcBorders>
            <w:vAlign w:val="center"/>
          </w:tcPr>
          <w:p>
            <w:pPr>
              <w:pStyle w:val="18"/>
              <w:keepNext/>
              <w:spacing w:line="360" w:lineRule="exact"/>
              <w:ind w:left="63" w:right="63"/>
              <w:rPr>
                <w:kern w:val="2"/>
              </w:rPr>
            </w:pPr>
          </w:p>
        </w:tc>
        <w:tc>
          <w:tcPr>
            <w:tcW w:w="921" w:type="dxa"/>
            <w:tcBorders>
              <w:top w:val="double" w:color="auto" w:sz="6" w:space="0"/>
              <w:bottom w:val="single" w:color="auto" w:sz="6" w:space="0"/>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8"/>
              <w:keepNext/>
              <w:spacing w:line="360" w:lineRule="exact"/>
              <w:ind w:left="63" w:right="63"/>
              <w:rPr>
                <w:kern w:val="2"/>
              </w:rPr>
            </w:pPr>
          </w:p>
        </w:tc>
        <w:tc>
          <w:tcPr>
            <w:tcW w:w="1418" w:type="dxa"/>
            <w:tcBorders>
              <w:top w:val="nil"/>
            </w:tcBorders>
            <w:vAlign w:val="center"/>
          </w:tcPr>
          <w:p>
            <w:pPr>
              <w:pStyle w:val="18"/>
              <w:keepNext/>
              <w:spacing w:line="360" w:lineRule="exact"/>
              <w:ind w:left="63" w:right="63"/>
              <w:rPr>
                <w:kern w:val="2"/>
              </w:rPr>
            </w:pPr>
          </w:p>
        </w:tc>
        <w:tc>
          <w:tcPr>
            <w:tcW w:w="850" w:type="dxa"/>
            <w:tcBorders>
              <w:top w:val="nil"/>
            </w:tcBorders>
            <w:vAlign w:val="center"/>
          </w:tcPr>
          <w:p>
            <w:pPr>
              <w:pStyle w:val="18"/>
              <w:keepNext/>
              <w:spacing w:line="360" w:lineRule="exact"/>
              <w:ind w:left="63" w:right="63"/>
              <w:rPr>
                <w:kern w:val="2"/>
              </w:rPr>
            </w:pPr>
          </w:p>
        </w:tc>
        <w:tc>
          <w:tcPr>
            <w:tcW w:w="1058" w:type="dxa"/>
            <w:tcBorders>
              <w:top w:val="nil"/>
            </w:tcBorders>
            <w:vAlign w:val="center"/>
          </w:tcPr>
          <w:p>
            <w:pPr>
              <w:pStyle w:val="18"/>
              <w:keepNext/>
              <w:spacing w:line="360" w:lineRule="exact"/>
              <w:ind w:left="63" w:right="63"/>
              <w:rPr>
                <w:kern w:val="2"/>
              </w:rPr>
            </w:pPr>
          </w:p>
        </w:tc>
        <w:tc>
          <w:tcPr>
            <w:tcW w:w="880" w:type="dxa"/>
            <w:tcBorders>
              <w:top w:val="nil"/>
            </w:tcBorders>
            <w:vAlign w:val="center"/>
          </w:tcPr>
          <w:p>
            <w:pPr>
              <w:pStyle w:val="18"/>
              <w:keepNext/>
              <w:spacing w:line="360" w:lineRule="exact"/>
              <w:ind w:left="63" w:right="63"/>
              <w:rPr>
                <w:kern w:val="2"/>
              </w:rPr>
            </w:pPr>
          </w:p>
        </w:tc>
        <w:tc>
          <w:tcPr>
            <w:tcW w:w="1020" w:type="dxa"/>
            <w:tcBorders>
              <w:top w:val="nil"/>
            </w:tcBorders>
            <w:vAlign w:val="center"/>
          </w:tcPr>
          <w:p>
            <w:pPr>
              <w:pStyle w:val="18"/>
              <w:keepNext/>
              <w:spacing w:line="360" w:lineRule="exact"/>
              <w:ind w:left="63" w:right="63"/>
              <w:rPr>
                <w:kern w:val="2"/>
              </w:rPr>
            </w:pPr>
          </w:p>
        </w:tc>
        <w:tc>
          <w:tcPr>
            <w:tcW w:w="1480" w:type="dxa"/>
            <w:tcBorders>
              <w:top w:val="nil"/>
            </w:tcBorders>
            <w:vAlign w:val="center"/>
          </w:tcPr>
          <w:p>
            <w:pPr>
              <w:pStyle w:val="18"/>
              <w:keepNext/>
              <w:spacing w:line="360" w:lineRule="exact"/>
              <w:ind w:left="63" w:right="63"/>
              <w:rPr>
                <w:kern w:val="2"/>
              </w:rPr>
            </w:pPr>
          </w:p>
        </w:tc>
        <w:tc>
          <w:tcPr>
            <w:tcW w:w="1020" w:type="dxa"/>
            <w:tcBorders>
              <w:top w:val="nil"/>
            </w:tcBorders>
            <w:vAlign w:val="center"/>
          </w:tcPr>
          <w:p>
            <w:pPr>
              <w:pStyle w:val="18"/>
              <w:keepNext/>
              <w:spacing w:line="360" w:lineRule="exact"/>
              <w:ind w:left="63" w:right="63"/>
              <w:rPr>
                <w:kern w:val="2"/>
              </w:rPr>
            </w:pPr>
          </w:p>
        </w:tc>
        <w:tc>
          <w:tcPr>
            <w:tcW w:w="921" w:type="dxa"/>
            <w:tcBorders>
              <w:top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c>
          <w:tcPr>
            <w:tcW w:w="1058" w:type="dxa"/>
            <w:vAlign w:val="center"/>
          </w:tcPr>
          <w:p>
            <w:pPr>
              <w:pStyle w:val="18"/>
              <w:keepNext/>
              <w:spacing w:line="360" w:lineRule="exact"/>
              <w:ind w:left="63" w:right="63"/>
              <w:rPr>
                <w:kern w:val="2"/>
              </w:rPr>
            </w:pPr>
          </w:p>
        </w:tc>
        <w:tc>
          <w:tcPr>
            <w:tcW w:w="8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14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921"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c>
          <w:tcPr>
            <w:tcW w:w="1058" w:type="dxa"/>
            <w:vAlign w:val="center"/>
          </w:tcPr>
          <w:p>
            <w:pPr>
              <w:pStyle w:val="18"/>
              <w:keepNext/>
              <w:spacing w:line="360" w:lineRule="exact"/>
              <w:ind w:left="63" w:right="63"/>
              <w:rPr>
                <w:kern w:val="2"/>
              </w:rPr>
            </w:pPr>
          </w:p>
        </w:tc>
        <w:tc>
          <w:tcPr>
            <w:tcW w:w="8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14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921"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c>
          <w:tcPr>
            <w:tcW w:w="1058" w:type="dxa"/>
            <w:vAlign w:val="center"/>
          </w:tcPr>
          <w:p>
            <w:pPr>
              <w:pStyle w:val="18"/>
              <w:keepNext/>
              <w:spacing w:line="360" w:lineRule="exact"/>
              <w:ind w:left="63" w:right="63"/>
              <w:rPr>
                <w:kern w:val="2"/>
              </w:rPr>
            </w:pPr>
          </w:p>
        </w:tc>
        <w:tc>
          <w:tcPr>
            <w:tcW w:w="8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14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921"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c>
          <w:tcPr>
            <w:tcW w:w="1058" w:type="dxa"/>
            <w:vAlign w:val="center"/>
          </w:tcPr>
          <w:p>
            <w:pPr>
              <w:pStyle w:val="18"/>
              <w:keepNext/>
              <w:spacing w:line="360" w:lineRule="exact"/>
              <w:ind w:left="63" w:right="63"/>
              <w:rPr>
                <w:kern w:val="2"/>
              </w:rPr>
            </w:pPr>
          </w:p>
        </w:tc>
        <w:tc>
          <w:tcPr>
            <w:tcW w:w="8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14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921"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c>
          <w:tcPr>
            <w:tcW w:w="1058" w:type="dxa"/>
            <w:vAlign w:val="center"/>
          </w:tcPr>
          <w:p>
            <w:pPr>
              <w:pStyle w:val="18"/>
              <w:keepNext/>
              <w:spacing w:line="360" w:lineRule="exact"/>
              <w:ind w:left="63" w:right="63"/>
              <w:rPr>
                <w:kern w:val="2"/>
              </w:rPr>
            </w:pPr>
          </w:p>
        </w:tc>
        <w:tc>
          <w:tcPr>
            <w:tcW w:w="8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14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921"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c>
          <w:tcPr>
            <w:tcW w:w="1058" w:type="dxa"/>
            <w:vAlign w:val="center"/>
          </w:tcPr>
          <w:p>
            <w:pPr>
              <w:pStyle w:val="18"/>
              <w:keepNext/>
              <w:spacing w:line="360" w:lineRule="exact"/>
              <w:ind w:left="63" w:right="63"/>
              <w:rPr>
                <w:kern w:val="2"/>
              </w:rPr>
            </w:pPr>
          </w:p>
        </w:tc>
        <w:tc>
          <w:tcPr>
            <w:tcW w:w="8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14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921"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850" w:type="dxa"/>
            <w:vAlign w:val="center"/>
          </w:tcPr>
          <w:p>
            <w:pPr>
              <w:pStyle w:val="18"/>
              <w:keepNext/>
              <w:spacing w:line="360" w:lineRule="exact"/>
              <w:ind w:left="63" w:right="63"/>
              <w:rPr>
                <w:kern w:val="2"/>
              </w:rPr>
            </w:pPr>
          </w:p>
        </w:tc>
        <w:tc>
          <w:tcPr>
            <w:tcW w:w="1058" w:type="dxa"/>
            <w:vAlign w:val="center"/>
          </w:tcPr>
          <w:p>
            <w:pPr>
              <w:pStyle w:val="18"/>
              <w:keepNext/>
              <w:spacing w:line="360" w:lineRule="exact"/>
              <w:ind w:left="63" w:right="63"/>
              <w:rPr>
                <w:kern w:val="2"/>
              </w:rPr>
            </w:pPr>
          </w:p>
        </w:tc>
        <w:tc>
          <w:tcPr>
            <w:tcW w:w="8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1480" w:type="dxa"/>
            <w:vAlign w:val="center"/>
          </w:tcPr>
          <w:p>
            <w:pPr>
              <w:pStyle w:val="18"/>
              <w:keepNext/>
              <w:spacing w:line="360" w:lineRule="exact"/>
              <w:ind w:left="63" w:right="63"/>
              <w:rPr>
                <w:kern w:val="2"/>
              </w:rPr>
            </w:pPr>
          </w:p>
        </w:tc>
        <w:tc>
          <w:tcPr>
            <w:tcW w:w="1020" w:type="dxa"/>
            <w:vAlign w:val="center"/>
          </w:tcPr>
          <w:p>
            <w:pPr>
              <w:pStyle w:val="18"/>
              <w:keepNext/>
              <w:spacing w:line="360" w:lineRule="exact"/>
              <w:ind w:left="63" w:right="63"/>
              <w:rPr>
                <w:kern w:val="2"/>
              </w:rPr>
            </w:pPr>
          </w:p>
        </w:tc>
        <w:tc>
          <w:tcPr>
            <w:tcW w:w="921"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1162" w:type="dxa"/>
          </w:tcPr>
          <w:p>
            <w:pPr>
              <w:spacing w:line="360" w:lineRule="exact"/>
              <w:ind w:firstLine="480"/>
              <w:rPr>
                <w:rFonts w:ascii="宋体" w:hAnsi="宋体"/>
                <w:sz w:val="24"/>
              </w:rPr>
            </w:pPr>
          </w:p>
        </w:tc>
        <w:tc>
          <w:tcPr>
            <w:tcW w:w="1418" w:type="dxa"/>
          </w:tcPr>
          <w:p>
            <w:pPr>
              <w:spacing w:line="360" w:lineRule="exact"/>
              <w:ind w:firstLine="480"/>
              <w:rPr>
                <w:rFonts w:ascii="宋体" w:hAnsi="宋体"/>
                <w:sz w:val="24"/>
              </w:rPr>
            </w:pPr>
          </w:p>
        </w:tc>
        <w:tc>
          <w:tcPr>
            <w:tcW w:w="850" w:type="dxa"/>
          </w:tcPr>
          <w:p>
            <w:pPr>
              <w:spacing w:line="360" w:lineRule="exact"/>
              <w:ind w:firstLine="480"/>
              <w:rPr>
                <w:rFonts w:ascii="宋体" w:hAnsi="宋体"/>
                <w:sz w:val="24"/>
              </w:rPr>
            </w:pPr>
          </w:p>
        </w:tc>
        <w:tc>
          <w:tcPr>
            <w:tcW w:w="1058" w:type="dxa"/>
          </w:tcPr>
          <w:p>
            <w:pPr>
              <w:spacing w:line="360" w:lineRule="exact"/>
              <w:ind w:firstLine="480"/>
              <w:rPr>
                <w:rFonts w:ascii="宋体" w:hAnsi="宋体"/>
                <w:sz w:val="24"/>
              </w:rPr>
            </w:pPr>
          </w:p>
        </w:tc>
        <w:tc>
          <w:tcPr>
            <w:tcW w:w="8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1480" w:type="dxa"/>
          </w:tcPr>
          <w:p>
            <w:pPr>
              <w:spacing w:line="360" w:lineRule="exact"/>
              <w:ind w:firstLine="480"/>
              <w:rPr>
                <w:rFonts w:ascii="宋体" w:hAnsi="宋体"/>
                <w:sz w:val="24"/>
              </w:rPr>
            </w:pPr>
          </w:p>
        </w:tc>
        <w:tc>
          <w:tcPr>
            <w:tcW w:w="1020" w:type="dxa"/>
          </w:tcPr>
          <w:p>
            <w:pPr>
              <w:spacing w:line="360" w:lineRule="exact"/>
              <w:ind w:firstLine="480"/>
              <w:rPr>
                <w:rFonts w:ascii="宋体" w:hAnsi="宋体"/>
                <w:sz w:val="24"/>
              </w:rPr>
            </w:pPr>
          </w:p>
        </w:tc>
        <w:tc>
          <w:tcPr>
            <w:tcW w:w="921" w:type="dxa"/>
          </w:tcPr>
          <w:p>
            <w:pPr>
              <w:spacing w:line="360" w:lineRule="exact"/>
              <w:ind w:firstLine="480"/>
              <w:rPr>
                <w:rFonts w:ascii="宋体" w:hAnsi="宋体"/>
                <w:sz w:val="24"/>
              </w:rPr>
            </w:pP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ascii="宋体" w:hAnsi="宋体"/>
          <w:sz w:val="24"/>
        </w:rPr>
        <w:t>附</w:t>
      </w:r>
      <w:bookmarkStart w:id="1091" w:name="_Toc296503228"/>
      <w:bookmarkStart w:id="1092" w:name="_Toc267261699"/>
      <w:bookmarkStart w:id="1093" w:name="_Toc296891268"/>
      <w:bookmarkStart w:id="1094" w:name="_Toc296944567"/>
      <w:bookmarkStart w:id="1095" w:name="_Toc296346729"/>
      <w:bookmarkStart w:id="1096" w:name="_Toc296347227"/>
      <w:bookmarkStart w:id="1097" w:name="_Toc296891056"/>
      <w:r>
        <w:rPr>
          <w:rFonts w:ascii="宋体" w:hAnsi="宋体"/>
          <w:sz w:val="24"/>
        </w:rPr>
        <w:t>件6：</w:t>
      </w:r>
    </w:p>
    <w:bookmarkEnd w:id="1091"/>
    <w:bookmarkEnd w:id="1092"/>
    <w:bookmarkEnd w:id="1093"/>
    <w:bookmarkEnd w:id="1094"/>
    <w:bookmarkEnd w:id="1095"/>
    <w:bookmarkEnd w:id="1096"/>
    <w:bookmarkEnd w:id="1097"/>
    <w:p>
      <w:pPr>
        <w:spacing w:beforeLines="50" w:afterLines="50" w:line="360" w:lineRule="exact"/>
        <w:ind w:firstLine="480"/>
        <w:jc w:val="center"/>
        <w:rPr>
          <w:rFonts w:ascii="宋体" w:hAnsi="宋体"/>
          <w:sz w:val="24"/>
        </w:rPr>
      </w:pPr>
      <w:r>
        <w:rPr>
          <w:rFonts w:ascii="宋体" w:hAnsi="宋体"/>
          <w:sz w:val="24"/>
        </w:rPr>
        <w:t>承包人主要施工管理人员表</w:t>
      </w:r>
    </w:p>
    <w:tbl>
      <w:tblPr>
        <w:tblStyle w:val="41"/>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名    称</w:t>
            </w:r>
          </w:p>
        </w:tc>
        <w:tc>
          <w:tcPr>
            <w:tcW w:w="1418"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姓名</w:t>
            </w:r>
          </w:p>
        </w:tc>
        <w:tc>
          <w:tcPr>
            <w:tcW w:w="1134"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职务</w:t>
            </w:r>
          </w:p>
        </w:tc>
        <w:tc>
          <w:tcPr>
            <w:tcW w:w="1134"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职称</w:t>
            </w:r>
          </w:p>
        </w:tc>
        <w:tc>
          <w:tcPr>
            <w:tcW w:w="4252" w:type="dxa"/>
            <w:tcBorders>
              <w:top w:val="single" w:color="auto" w:sz="12" w:space="0"/>
              <w:bottom w:val="double" w:color="auto" w:sz="6" w:space="0"/>
            </w:tcBorders>
            <w:vAlign w:val="center"/>
          </w:tcPr>
          <w:p>
            <w:pPr>
              <w:pStyle w:val="18"/>
              <w:keepNext/>
              <w:spacing w:line="360" w:lineRule="exact"/>
              <w:ind w:left="63" w:right="63"/>
              <w:rPr>
                <w:kern w:val="2"/>
                <w:lang w:eastAsia="zh-CN"/>
              </w:rPr>
            </w:pPr>
            <w:r>
              <w:rPr>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8"/>
              <w:keepNext/>
              <w:spacing w:line="360" w:lineRule="exact"/>
              <w:ind w:left="63" w:right="63"/>
              <w:rPr>
                <w:kern w:val="2"/>
              </w:rPr>
            </w:pPr>
            <w:r>
              <w:rPr>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360" w:lineRule="exact"/>
              <w:ind w:left="63" w:right="63"/>
              <w:rPr>
                <w:kern w:val="2"/>
              </w:rPr>
            </w:pPr>
            <w:r>
              <w:rPr>
                <w:kern w:val="2"/>
              </w:rPr>
              <w:t>项目主管</w:t>
            </w:r>
          </w:p>
        </w:tc>
        <w:tc>
          <w:tcPr>
            <w:tcW w:w="1418" w:type="dxa"/>
            <w:tcBorders>
              <w:top w:val="nil"/>
            </w:tcBorders>
            <w:vAlign w:val="center"/>
          </w:tcPr>
          <w:p>
            <w:pPr>
              <w:pStyle w:val="18"/>
              <w:keepNext/>
              <w:spacing w:line="360" w:lineRule="exact"/>
              <w:ind w:left="63" w:right="63"/>
              <w:rPr>
                <w:kern w:val="2"/>
              </w:rPr>
            </w:pPr>
          </w:p>
        </w:tc>
        <w:tc>
          <w:tcPr>
            <w:tcW w:w="1134" w:type="dxa"/>
            <w:tcBorders>
              <w:top w:val="nil"/>
            </w:tcBorders>
            <w:vAlign w:val="center"/>
          </w:tcPr>
          <w:p>
            <w:pPr>
              <w:pStyle w:val="18"/>
              <w:keepNext/>
              <w:spacing w:line="360" w:lineRule="exact"/>
              <w:ind w:left="63" w:right="63"/>
              <w:rPr>
                <w:kern w:val="2"/>
              </w:rPr>
            </w:pPr>
          </w:p>
        </w:tc>
        <w:tc>
          <w:tcPr>
            <w:tcW w:w="1134" w:type="dxa"/>
            <w:tcBorders>
              <w:top w:val="nil"/>
            </w:tcBorders>
            <w:vAlign w:val="center"/>
          </w:tcPr>
          <w:p>
            <w:pPr>
              <w:pStyle w:val="18"/>
              <w:keepNext/>
              <w:spacing w:line="360" w:lineRule="exact"/>
              <w:ind w:left="63" w:right="63"/>
              <w:rPr>
                <w:kern w:val="2"/>
              </w:rPr>
            </w:pPr>
          </w:p>
        </w:tc>
        <w:tc>
          <w:tcPr>
            <w:tcW w:w="4252" w:type="dxa"/>
            <w:tcBorders>
              <w:top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360" w:lineRule="exact"/>
              <w:ind w:left="63" w:right="63"/>
              <w:rPr>
                <w:kern w:val="2"/>
              </w:rPr>
            </w:pPr>
            <w:r>
              <w:rPr>
                <w:kern w:val="2"/>
              </w:rPr>
              <w:t>其他人员</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8"/>
              <w:keepNext/>
              <w:spacing w:line="360" w:lineRule="exact"/>
              <w:ind w:left="63" w:right="63"/>
              <w:rPr>
                <w:kern w:val="2"/>
              </w:rPr>
            </w:pPr>
            <w:r>
              <w:rPr>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项目经理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项目副经理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技术负责人</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造价管理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质量管理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材料管理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计划管理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安全管理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8"/>
              <w:keepNext/>
              <w:spacing w:line="360" w:lineRule="exact"/>
              <w:ind w:left="63" w:right="63"/>
              <w:rPr>
                <w:kern w:val="2"/>
              </w:rPr>
            </w:pPr>
            <w:r>
              <w:rPr>
                <w:kern w:val="2"/>
              </w:rPr>
              <w:t>其他人员</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8"/>
              <w:keepNext/>
              <w:spacing w:line="360" w:lineRule="exact"/>
              <w:ind w:left="63" w:right="63"/>
              <w:rPr>
                <w:kern w:val="2"/>
              </w:rPr>
            </w:pPr>
          </w:p>
        </w:tc>
        <w:tc>
          <w:tcPr>
            <w:tcW w:w="1418" w:type="dxa"/>
            <w:tcBorders>
              <w:bottom w:val="nil"/>
            </w:tcBorders>
            <w:vAlign w:val="center"/>
          </w:tcPr>
          <w:p>
            <w:pPr>
              <w:pStyle w:val="18"/>
              <w:keepNext/>
              <w:spacing w:line="360" w:lineRule="exact"/>
              <w:ind w:left="63" w:right="63"/>
              <w:rPr>
                <w:kern w:val="2"/>
              </w:rPr>
            </w:pPr>
          </w:p>
        </w:tc>
        <w:tc>
          <w:tcPr>
            <w:tcW w:w="1134" w:type="dxa"/>
            <w:tcBorders>
              <w:bottom w:val="nil"/>
            </w:tcBorders>
            <w:vAlign w:val="center"/>
          </w:tcPr>
          <w:p>
            <w:pPr>
              <w:pStyle w:val="18"/>
              <w:keepNext/>
              <w:spacing w:line="360" w:lineRule="exact"/>
              <w:ind w:left="63" w:right="63"/>
              <w:rPr>
                <w:kern w:val="2"/>
              </w:rPr>
            </w:pPr>
          </w:p>
        </w:tc>
        <w:tc>
          <w:tcPr>
            <w:tcW w:w="1134" w:type="dxa"/>
            <w:tcBorders>
              <w:bottom w:val="nil"/>
            </w:tcBorders>
            <w:vAlign w:val="center"/>
          </w:tcPr>
          <w:p>
            <w:pPr>
              <w:pStyle w:val="18"/>
              <w:keepNext/>
              <w:spacing w:line="360" w:lineRule="exact"/>
              <w:ind w:left="63" w:right="63"/>
              <w:rPr>
                <w:kern w:val="2"/>
              </w:rPr>
            </w:pPr>
          </w:p>
        </w:tc>
        <w:tc>
          <w:tcPr>
            <w:tcW w:w="4252" w:type="dxa"/>
            <w:tcBorders>
              <w:bottom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8"/>
              <w:keepNext/>
              <w:spacing w:line="360" w:lineRule="exact"/>
              <w:ind w:left="63" w:right="63"/>
              <w:rPr>
                <w:kern w:val="2"/>
              </w:rPr>
            </w:pPr>
          </w:p>
        </w:tc>
        <w:tc>
          <w:tcPr>
            <w:tcW w:w="1418" w:type="dxa"/>
            <w:tcBorders>
              <w:bottom w:val="single" w:color="auto" w:sz="12" w:space="0"/>
            </w:tcBorders>
            <w:vAlign w:val="center"/>
          </w:tcPr>
          <w:p>
            <w:pPr>
              <w:pStyle w:val="18"/>
              <w:keepNext/>
              <w:spacing w:line="360" w:lineRule="exact"/>
              <w:ind w:left="63" w:right="63"/>
              <w:rPr>
                <w:kern w:val="2"/>
              </w:rPr>
            </w:pPr>
          </w:p>
        </w:tc>
        <w:tc>
          <w:tcPr>
            <w:tcW w:w="1134" w:type="dxa"/>
            <w:tcBorders>
              <w:bottom w:val="single" w:color="auto" w:sz="12" w:space="0"/>
            </w:tcBorders>
            <w:vAlign w:val="center"/>
          </w:tcPr>
          <w:p>
            <w:pPr>
              <w:pStyle w:val="18"/>
              <w:keepNext/>
              <w:spacing w:line="360" w:lineRule="exact"/>
              <w:ind w:left="63" w:right="63"/>
              <w:rPr>
                <w:kern w:val="2"/>
              </w:rPr>
            </w:pPr>
          </w:p>
        </w:tc>
        <w:tc>
          <w:tcPr>
            <w:tcW w:w="1134" w:type="dxa"/>
            <w:tcBorders>
              <w:bottom w:val="single" w:color="auto" w:sz="12" w:space="0"/>
            </w:tcBorders>
            <w:vAlign w:val="center"/>
          </w:tcPr>
          <w:p>
            <w:pPr>
              <w:pStyle w:val="18"/>
              <w:keepNext/>
              <w:spacing w:line="360" w:lineRule="exact"/>
              <w:ind w:left="63" w:right="63"/>
              <w:rPr>
                <w:kern w:val="2"/>
              </w:rPr>
            </w:pPr>
          </w:p>
        </w:tc>
        <w:tc>
          <w:tcPr>
            <w:tcW w:w="4252" w:type="dxa"/>
            <w:tcBorders>
              <w:bottom w:val="single" w:color="auto" w:sz="12" w:space="0"/>
            </w:tcBorders>
            <w:vAlign w:val="center"/>
          </w:tcPr>
          <w:p>
            <w:pPr>
              <w:pStyle w:val="18"/>
              <w:keepNext/>
              <w:spacing w:line="360" w:lineRule="exact"/>
              <w:ind w:left="63" w:right="63"/>
              <w:rPr>
                <w:kern w:val="2"/>
              </w:rPr>
            </w:pPr>
          </w:p>
        </w:tc>
      </w:tr>
    </w:tbl>
    <w:p>
      <w:pPr>
        <w:spacing w:line="360" w:lineRule="exact"/>
        <w:ind w:firstLine="480"/>
        <w:rPr>
          <w:rFonts w:ascii="宋体" w:hAnsi="宋体"/>
          <w:sz w:val="24"/>
        </w:rPr>
      </w:pPr>
      <w:r>
        <w:rPr>
          <w:rFonts w:ascii="宋体" w:hAnsi="宋体"/>
          <w:sz w:val="24"/>
        </w:rPr>
        <w:br w:type="page"/>
      </w:r>
      <w:r>
        <w:rPr>
          <w:rFonts w:ascii="宋体" w:hAnsi="宋体"/>
          <w:sz w:val="24"/>
        </w:rPr>
        <w:t>附</w:t>
      </w:r>
      <w:bookmarkStart w:id="1098" w:name="_Toc296503229"/>
      <w:bookmarkStart w:id="1099" w:name="_Toc296346730"/>
      <w:bookmarkStart w:id="1100" w:name="_Toc296944568"/>
      <w:bookmarkStart w:id="1101" w:name="_Toc296891269"/>
      <w:bookmarkStart w:id="1102" w:name="_Toc296347228"/>
      <w:bookmarkStart w:id="1103" w:name="_Toc296891057"/>
      <w:r>
        <w:rPr>
          <w:rFonts w:ascii="宋体" w:hAnsi="宋体"/>
          <w:sz w:val="24"/>
        </w:rPr>
        <w:t>件7：</w:t>
      </w:r>
    </w:p>
    <w:bookmarkEnd w:id="1098"/>
    <w:bookmarkEnd w:id="1099"/>
    <w:bookmarkEnd w:id="1100"/>
    <w:bookmarkEnd w:id="1101"/>
    <w:bookmarkEnd w:id="1102"/>
    <w:bookmarkEnd w:id="1103"/>
    <w:p>
      <w:pPr>
        <w:spacing w:beforeLines="50" w:afterLines="50" w:line="360" w:lineRule="exact"/>
        <w:ind w:firstLine="480"/>
        <w:jc w:val="center"/>
        <w:rPr>
          <w:rFonts w:ascii="宋体" w:hAnsi="宋体"/>
          <w:sz w:val="24"/>
        </w:rPr>
      </w:pPr>
      <w:r>
        <w:rPr>
          <w:rFonts w:ascii="宋体" w:hAnsi="宋体"/>
          <w:sz w:val="24"/>
        </w:rPr>
        <w:t>分包人主要施工管理人员表</w:t>
      </w:r>
    </w:p>
    <w:tbl>
      <w:tblPr>
        <w:tblStyle w:val="41"/>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名    称</w:t>
            </w:r>
          </w:p>
        </w:tc>
        <w:tc>
          <w:tcPr>
            <w:tcW w:w="1418"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姓名</w:t>
            </w:r>
          </w:p>
        </w:tc>
        <w:tc>
          <w:tcPr>
            <w:tcW w:w="1134"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职务</w:t>
            </w:r>
          </w:p>
        </w:tc>
        <w:tc>
          <w:tcPr>
            <w:tcW w:w="1134" w:type="dxa"/>
            <w:tcBorders>
              <w:top w:val="single" w:color="auto" w:sz="12" w:space="0"/>
              <w:bottom w:val="double" w:color="auto" w:sz="6" w:space="0"/>
            </w:tcBorders>
            <w:vAlign w:val="center"/>
          </w:tcPr>
          <w:p>
            <w:pPr>
              <w:pStyle w:val="18"/>
              <w:keepNext/>
              <w:spacing w:line="360" w:lineRule="exact"/>
              <w:ind w:left="63" w:right="63"/>
              <w:rPr>
                <w:kern w:val="2"/>
              </w:rPr>
            </w:pPr>
            <w:r>
              <w:rPr>
                <w:kern w:val="2"/>
              </w:rPr>
              <w:t>职称</w:t>
            </w:r>
          </w:p>
        </w:tc>
        <w:tc>
          <w:tcPr>
            <w:tcW w:w="4252" w:type="dxa"/>
            <w:tcBorders>
              <w:top w:val="single" w:color="auto" w:sz="12" w:space="0"/>
              <w:bottom w:val="double" w:color="auto" w:sz="6" w:space="0"/>
            </w:tcBorders>
            <w:vAlign w:val="center"/>
          </w:tcPr>
          <w:p>
            <w:pPr>
              <w:pStyle w:val="18"/>
              <w:keepNext/>
              <w:spacing w:line="360" w:lineRule="exact"/>
              <w:ind w:left="63" w:right="63"/>
              <w:rPr>
                <w:kern w:val="2"/>
                <w:lang w:eastAsia="zh-CN"/>
              </w:rPr>
            </w:pPr>
            <w:r>
              <w:rPr>
                <w:kern w:val="2"/>
                <w:lang w:eastAsia="zh-C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18"/>
              <w:keepNext/>
              <w:spacing w:line="360" w:lineRule="exact"/>
              <w:ind w:left="63" w:right="63"/>
              <w:rPr>
                <w:kern w:val="2"/>
              </w:rPr>
            </w:pPr>
            <w:r>
              <w:rPr>
                <w:kern w:val="2"/>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360" w:lineRule="exact"/>
              <w:ind w:left="63" w:right="63"/>
              <w:rPr>
                <w:kern w:val="2"/>
              </w:rPr>
            </w:pPr>
            <w:r>
              <w:rPr>
                <w:kern w:val="2"/>
              </w:rPr>
              <w:t>项目主管</w:t>
            </w:r>
          </w:p>
        </w:tc>
        <w:tc>
          <w:tcPr>
            <w:tcW w:w="1418" w:type="dxa"/>
            <w:tcBorders>
              <w:top w:val="nil"/>
            </w:tcBorders>
            <w:vAlign w:val="center"/>
          </w:tcPr>
          <w:p>
            <w:pPr>
              <w:pStyle w:val="18"/>
              <w:keepNext/>
              <w:spacing w:line="360" w:lineRule="exact"/>
              <w:ind w:left="63" w:right="63"/>
              <w:rPr>
                <w:kern w:val="2"/>
              </w:rPr>
            </w:pPr>
          </w:p>
        </w:tc>
        <w:tc>
          <w:tcPr>
            <w:tcW w:w="1134" w:type="dxa"/>
            <w:tcBorders>
              <w:top w:val="nil"/>
            </w:tcBorders>
            <w:vAlign w:val="center"/>
          </w:tcPr>
          <w:p>
            <w:pPr>
              <w:pStyle w:val="18"/>
              <w:keepNext/>
              <w:spacing w:line="360" w:lineRule="exact"/>
              <w:ind w:left="63" w:right="63"/>
              <w:rPr>
                <w:kern w:val="2"/>
              </w:rPr>
            </w:pPr>
          </w:p>
        </w:tc>
        <w:tc>
          <w:tcPr>
            <w:tcW w:w="1134" w:type="dxa"/>
            <w:tcBorders>
              <w:top w:val="nil"/>
            </w:tcBorders>
            <w:vAlign w:val="center"/>
          </w:tcPr>
          <w:p>
            <w:pPr>
              <w:pStyle w:val="18"/>
              <w:keepNext/>
              <w:spacing w:line="360" w:lineRule="exact"/>
              <w:ind w:left="63" w:right="63"/>
              <w:rPr>
                <w:kern w:val="2"/>
              </w:rPr>
            </w:pPr>
          </w:p>
        </w:tc>
        <w:tc>
          <w:tcPr>
            <w:tcW w:w="4252" w:type="dxa"/>
            <w:tcBorders>
              <w:top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360" w:lineRule="exact"/>
              <w:ind w:left="63" w:right="63"/>
              <w:rPr>
                <w:kern w:val="2"/>
              </w:rPr>
            </w:pPr>
            <w:r>
              <w:rPr>
                <w:kern w:val="2"/>
              </w:rPr>
              <w:t>其他人员</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18"/>
              <w:keepNext/>
              <w:spacing w:line="360" w:lineRule="exact"/>
              <w:ind w:left="63" w:right="63"/>
              <w:rPr>
                <w:kern w:val="2"/>
              </w:rPr>
            </w:pPr>
            <w:r>
              <w:rPr>
                <w:kern w:val="2"/>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项目经理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项目副经理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技术负责人</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造价管理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质量管理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材料管理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计划管理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18"/>
              <w:keepNext/>
              <w:spacing w:line="360" w:lineRule="exact"/>
              <w:ind w:left="63" w:right="63"/>
              <w:rPr>
                <w:kern w:val="2"/>
              </w:rPr>
            </w:pPr>
            <w:r>
              <w:rPr>
                <w:kern w:val="2"/>
              </w:rPr>
              <w:t>安全管理</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pStyle w:val="18"/>
              <w:keepNext/>
              <w:spacing w:line="360" w:lineRule="exact"/>
              <w:ind w:left="63" w:right="63"/>
              <w:rPr>
                <w:kern w:val="2"/>
              </w:rPr>
            </w:pPr>
            <w:r>
              <w:rPr>
                <w:kern w:val="2"/>
              </w:rPr>
              <w:t>其他人员</w:t>
            </w: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8"/>
              <w:keepNext/>
              <w:spacing w:line="360" w:lineRule="exact"/>
              <w:ind w:left="63" w:right="63"/>
              <w:rPr>
                <w:kern w:val="2"/>
              </w:rPr>
            </w:pPr>
          </w:p>
        </w:tc>
        <w:tc>
          <w:tcPr>
            <w:tcW w:w="1418" w:type="dxa"/>
            <w:tcBorders>
              <w:bottom w:val="nil"/>
            </w:tcBorders>
            <w:vAlign w:val="center"/>
          </w:tcPr>
          <w:p>
            <w:pPr>
              <w:pStyle w:val="18"/>
              <w:keepNext/>
              <w:spacing w:line="360" w:lineRule="exact"/>
              <w:ind w:left="63" w:right="63"/>
              <w:rPr>
                <w:kern w:val="2"/>
              </w:rPr>
            </w:pPr>
          </w:p>
        </w:tc>
        <w:tc>
          <w:tcPr>
            <w:tcW w:w="1134" w:type="dxa"/>
            <w:tcBorders>
              <w:bottom w:val="nil"/>
            </w:tcBorders>
            <w:vAlign w:val="center"/>
          </w:tcPr>
          <w:p>
            <w:pPr>
              <w:pStyle w:val="18"/>
              <w:keepNext/>
              <w:spacing w:line="360" w:lineRule="exact"/>
              <w:ind w:left="63" w:right="63"/>
              <w:rPr>
                <w:kern w:val="2"/>
              </w:rPr>
            </w:pPr>
          </w:p>
        </w:tc>
        <w:tc>
          <w:tcPr>
            <w:tcW w:w="1134" w:type="dxa"/>
            <w:tcBorders>
              <w:bottom w:val="nil"/>
            </w:tcBorders>
            <w:vAlign w:val="center"/>
          </w:tcPr>
          <w:p>
            <w:pPr>
              <w:pStyle w:val="18"/>
              <w:keepNext/>
              <w:spacing w:line="360" w:lineRule="exact"/>
              <w:ind w:left="63" w:right="63"/>
              <w:rPr>
                <w:kern w:val="2"/>
              </w:rPr>
            </w:pPr>
          </w:p>
        </w:tc>
        <w:tc>
          <w:tcPr>
            <w:tcW w:w="4252" w:type="dxa"/>
            <w:tcBorders>
              <w:bottom w:val="nil"/>
            </w:tcBorders>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vAlign w:val="center"/>
          </w:tcPr>
          <w:p>
            <w:pPr>
              <w:pStyle w:val="18"/>
              <w:keepNext/>
              <w:spacing w:line="360" w:lineRule="exact"/>
              <w:ind w:left="63" w:right="63"/>
              <w:rPr>
                <w:kern w:val="2"/>
              </w:rPr>
            </w:pPr>
          </w:p>
        </w:tc>
        <w:tc>
          <w:tcPr>
            <w:tcW w:w="1418"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1134" w:type="dxa"/>
            <w:vAlign w:val="center"/>
          </w:tcPr>
          <w:p>
            <w:pPr>
              <w:pStyle w:val="18"/>
              <w:keepNext/>
              <w:spacing w:line="360" w:lineRule="exact"/>
              <w:ind w:left="63" w:right="63"/>
              <w:rPr>
                <w:kern w:val="2"/>
              </w:rPr>
            </w:pPr>
          </w:p>
        </w:tc>
        <w:tc>
          <w:tcPr>
            <w:tcW w:w="4252" w:type="dxa"/>
            <w:vAlign w:val="center"/>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8"/>
              <w:keepNext/>
              <w:spacing w:line="360" w:lineRule="exact"/>
              <w:ind w:left="63" w:right="63"/>
              <w:rPr>
                <w:kern w:val="2"/>
              </w:rPr>
            </w:pPr>
          </w:p>
        </w:tc>
        <w:tc>
          <w:tcPr>
            <w:tcW w:w="1418" w:type="dxa"/>
            <w:tcBorders>
              <w:bottom w:val="single" w:color="auto" w:sz="12" w:space="0"/>
            </w:tcBorders>
            <w:vAlign w:val="center"/>
          </w:tcPr>
          <w:p>
            <w:pPr>
              <w:pStyle w:val="18"/>
              <w:keepNext/>
              <w:spacing w:line="360" w:lineRule="exact"/>
              <w:ind w:left="63" w:right="63"/>
              <w:rPr>
                <w:kern w:val="2"/>
              </w:rPr>
            </w:pPr>
          </w:p>
        </w:tc>
        <w:tc>
          <w:tcPr>
            <w:tcW w:w="1134" w:type="dxa"/>
            <w:tcBorders>
              <w:bottom w:val="single" w:color="auto" w:sz="12" w:space="0"/>
            </w:tcBorders>
            <w:vAlign w:val="center"/>
          </w:tcPr>
          <w:p>
            <w:pPr>
              <w:pStyle w:val="18"/>
              <w:keepNext/>
              <w:spacing w:line="360" w:lineRule="exact"/>
              <w:ind w:left="63" w:right="63"/>
              <w:rPr>
                <w:kern w:val="2"/>
              </w:rPr>
            </w:pPr>
          </w:p>
        </w:tc>
        <w:tc>
          <w:tcPr>
            <w:tcW w:w="1134" w:type="dxa"/>
            <w:tcBorders>
              <w:bottom w:val="single" w:color="auto" w:sz="12" w:space="0"/>
            </w:tcBorders>
            <w:vAlign w:val="center"/>
          </w:tcPr>
          <w:p>
            <w:pPr>
              <w:pStyle w:val="18"/>
              <w:keepNext/>
              <w:spacing w:line="360" w:lineRule="exact"/>
              <w:ind w:left="63" w:right="63"/>
              <w:rPr>
                <w:kern w:val="2"/>
              </w:rPr>
            </w:pPr>
          </w:p>
        </w:tc>
        <w:tc>
          <w:tcPr>
            <w:tcW w:w="4252" w:type="dxa"/>
            <w:tcBorders>
              <w:bottom w:val="single" w:color="auto" w:sz="12" w:space="0"/>
            </w:tcBorders>
            <w:vAlign w:val="center"/>
          </w:tcPr>
          <w:p>
            <w:pPr>
              <w:pStyle w:val="18"/>
              <w:keepNext/>
              <w:spacing w:line="360" w:lineRule="exact"/>
              <w:ind w:left="63" w:right="63"/>
              <w:rPr>
                <w:kern w:val="2"/>
              </w:rPr>
            </w:pPr>
          </w:p>
        </w:tc>
      </w:tr>
    </w:tbl>
    <w:p>
      <w:pPr>
        <w:spacing w:line="360" w:lineRule="exact"/>
        <w:ind w:firstLine="480"/>
        <w:rPr>
          <w:rFonts w:ascii="宋体" w:hAnsi="宋体"/>
          <w:sz w:val="24"/>
        </w:rPr>
      </w:pPr>
      <w:r>
        <w:rPr>
          <w:rFonts w:ascii="宋体" w:hAnsi="宋体"/>
          <w:sz w:val="24"/>
        </w:rPr>
        <w:br w:type="page"/>
      </w:r>
      <w:r>
        <w:rPr>
          <w:rFonts w:ascii="宋体" w:hAnsi="宋体"/>
          <w:sz w:val="24"/>
        </w:rPr>
        <w:t>附件8：</w:t>
      </w:r>
    </w:p>
    <w:p>
      <w:pPr>
        <w:spacing w:line="360" w:lineRule="exact"/>
        <w:ind w:firstLine="480"/>
        <w:rPr>
          <w:rFonts w:ascii="宋体" w:hAnsi="宋体"/>
          <w:sz w:val="24"/>
        </w:rPr>
      </w:pPr>
      <w:r>
        <w:rPr>
          <w:rFonts w:ascii="宋体" w:hAnsi="宋体"/>
          <w:sz w:val="24"/>
        </w:rPr>
        <w:t>11-1：材料暂估价表</w:t>
      </w:r>
    </w:p>
    <w:tbl>
      <w:tblPr>
        <w:tblStyle w:val="4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8"/>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8"/>
              <w:keepNext/>
              <w:spacing w:line="360" w:lineRule="exact"/>
              <w:ind w:left="63" w:right="63"/>
              <w:rPr>
                <w:kern w:val="2"/>
              </w:rPr>
            </w:pPr>
            <w:r>
              <w:rPr>
                <w:kern w:val="2"/>
              </w:rPr>
              <w:t>名称</w:t>
            </w:r>
          </w:p>
        </w:tc>
        <w:tc>
          <w:tcPr>
            <w:tcW w:w="851" w:type="dxa"/>
            <w:tcBorders>
              <w:top w:val="single" w:color="auto" w:sz="12" w:space="0"/>
              <w:bottom w:val="double" w:color="auto" w:sz="6" w:space="0"/>
            </w:tcBorders>
          </w:tcPr>
          <w:p>
            <w:pPr>
              <w:pStyle w:val="18"/>
              <w:keepNext/>
              <w:spacing w:line="360" w:lineRule="exact"/>
              <w:ind w:left="63" w:right="63"/>
              <w:rPr>
                <w:kern w:val="2"/>
              </w:rPr>
            </w:pPr>
            <w:r>
              <w:rPr>
                <w:kern w:val="2"/>
              </w:rPr>
              <w:t>单位</w:t>
            </w:r>
          </w:p>
        </w:tc>
        <w:tc>
          <w:tcPr>
            <w:tcW w:w="774" w:type="dxa"/>
            <w:tcBorders>
              <w:top w:val="single" w:color="auto" w:sz="12" w:space="0"/>
              <w:bottom w:val="double" w:color="auto" w:sz="6" w:space="0"/>
            </w:tcBorders>
          </w:tcPr>
          <w:p>
            <w:pPr>
              <w:pStyle w:val="18"/>
              <w:keepNext/>
              <w:spacing w:line="360" w:lineRule="exact"/>
              <w:ind w:left="63" w:right="63"/>
              <w:rPr>
                <w:kern w:val="2"/>
              </w:rPr>
            </w:pPr>
            <w:r>
              <w:rPr>
                <w:kern w:val="2"/>
              </w:rPr>
              <w:t>数量</w:t>
            </w:r>
          </w:p>
        </w:tc>
        <w:tc>
          <w:tcPr>
            <w:tcW w:w="1352" w:type="dxa"/>
            <w:tcBorders>
              <w:top w:val="single" w:color="auto" w:sz="12" w:space="0"/>
              <w:bottom w:val="double" w:color="auto" w:sz="6" w:space="0"/>
            </w:tcBorders>
          </w:tcPr>
          <w:p>
            <w:pPr>
              <w:pStyle w:val="18"/>
              <w:keepNext/>
              <w:spacing w:line="360" w:lineRule="exact"/>
              <w:ind w:left="63" w:right="63"/>
              <w:rPr>
                <w:kern w:val="2"/>
              </w:rPr>
            </w:pPr>
            <w:r>
              <w:rPr>
                <w:kern w:val="2"/>
              </w:rPr>
              <w:t>单价</w:t>
            </w:r>
            <w:r>
              <w:rPr>
                <w:rFonts w:hint="eastAsia"/>
                <w:kern w:val="2"/>
              </w:rPr>
              <w:t>（元）</w:t>
            </w:r>
          </w:p>
        </w:tc>
        <w:tc>
          <w:tcPr>
            <w:tcW w:w="1418" w:type="dxa"/>
            <w:tcBorders>
              <w:top w:val="single" w:color="auto" w:sz="12" w:space="0"/>
              <w:bottom w:val="double" w:color="auto" w:sz="6" w:space="0"/>
            </w:tcBorders>
          </w:tcPr>
          <w:p>
            <w:pPr>
              <w:pStyle w:val="18"/>
              <w:keepNext/>
              <w:spacing w:line="360" w:lineRule="exact"/>
              <w:ind w:left="63" w:right="63"/>
              <w:rPr>
                <w:kern w:val="2"/>
              </w:rPr>
            </w:pPr>
            <w:r>
              <w:rPr>
                <w:kern w:val="2"/>
              </w:rPr>
              <w:t>合价</w:t>
            </w:r>
            <w:r>
              <w:rPr>
                <w:rFonts w:hint="eastAsia"/>
                <w:kern w:val="2"/>
              </w:rPr>
              <w:t>（元）</w:t>
            </w:r>
          </w:p>
        </w:tc>
        <w:tc>
          <w:tcPr>
            <w:tcW w:w="1701" w:type="dxa"/>
            <w:tcBorders>
              <w:top w:val="single" w:color="auto" w:sz="12" w:space="0"/>
              <w:bottom w:val="double" w:color="auto" w:sz="6" w:space="0"/>
            </w:tcBorders>
          </w:tcPr>
          <w:p>
            <w:pPr>
              <w:pStyle w:val="18"/>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8"/>
              <w:keepNext/>
              <w:spacing w:line="360" w:lineRule="exact"/>
              <w:ind w:left="63" w:right="63"/>
              <w:rPr>
                <w:kern w:val="2"/>
              </w:rPr>
            </w:pPr>
          </w:p>
        </w:tc>
        <w:tc>
          <w:tcPr>
            <w:tcW w:w="1984" w:type="dxa"/>
            <w:tcBorders>
              <w:top w:val="double" w:color="auto" w:sz="6" w:space="0"/>
              <w:bottom w:val="single" w:color="auto" w:sz="6" w:space="0"/>
            </w:tcBorders>
          </w:tcPr>
          <w:p>
            <w:pPr>
              <w:pStyle w:val="18"/>
              <w:keepNext/>
              <w:spacing w:line="360" w:lineRule="exact"/>
              <w:ind w:left="63" w:right="63"/>
              <w:rPr>
                <w:kern w:val="2"/>
              </w:rPr>
            </w:pPr>
          </w:p>
        </w:tc>
        <w:tc>
          <w:tcPr>
            <w:tcW w:w="851" w:type="dxa"/>
            <w:tcBorders>
              <w:top w:val="double" w:color="auto" w:sz="6" w:space="0"/>
              <w:bottom w:val="single" w:color="auto" w:sz="6" w:space="0"/>
            </w:tcBorders>
          </w:tcPr>
          <w:p>
            <w:pPr>
              <w:pStyle w:val="18"/>
              <w:keepNext/>
              <w:spacing w:line="360" w:lineRule="exact"/>
              <w:ind w:left="63" w:right="63"/>
              <w:rPr>
                <w:kern w:val="2"/>
              </w:rPr>
            </w:pPr>
          </w:p>
        </w:tc>
        <w:tc>
          <w:tcPr>
            <w:tcW w:w="774" w:type="dxa"/>
            <w:tcBorders>
              <w:top w:val="double" w:color="auto" w:sz="6" w:space="0"/>
              <w:bottom w:val="single" w:color="auto" w:sz="6" w:space="0"/>
            </w:tcBorders>
          </w:tcPr>
          <w:p>
            <w:pPr>
              <w:pStyle w:val="18"/>
              <w:keepNext/>
              <w:spacing w:line="360" w:lineRule="exact"/>
              <w:ind w:left="63" w:right="63"/>
              <w:rPr>
                <w:kern w:val="2"/>
              </w:rPr>
            </w:pPr>
          </w:p>
        </w:tc>
        <w:tc>
          <w:tcPr>
            <w:tcW w:w="1352" w:type="dxa"/>
            <w:tcBorders>
              <w:top w:val="double" w:color="auto" w:sz="6" w:space="0"/>
              <w:bottom w:val="single" w:color="auto" w:sz="6" w:space="0"/>
            </w:tcBorders>
          </w:tcPr>
          <w:p>
            <w:pPr>
              <w:pStyle w:val="18"/>
              <w:keepNext/>
              <w:spacing w:line="360" w:lineRule="exact"/>
              <w:ind w:left="63" w:right="63"/>
              <w:rPr>
                <w:kern w:val="2"/>
              </w:rPr>
            </w:pPr>
          </w:p>
        </w:tc>
        <w:tc>
          <w:tcPr>
            <w:tcW w:w="1418" w:type="dxa"/>
            <w:tcBorders>
              <w:top w:val="double" w:color="auto" w:sz="6" w:space="0"/>
              <w:bottom w:val="single" w:color="auto" w:sz="6" w:space="0"/>
            </w:tcBorders>
          </w:tcPr>
          <w:p>
            <w:pPr>
              <w:pStyle w:val="18"/>
              <w:keepNext/>
              <w:spacing w:line="360" w:lineRule="exact"/>
              <w:ind w:left="63" w:right="63"/>
              <w:rPr>
                <w:kern w:val="2"/>
              </w:rPr>
            </w:pPr>
          </w:p>
        </w:tc>
        <w:tc>
          <w:tcPr>
            <w:tcW w:w="1701" w:type="dxa"/>
            <w:tcBorders>
              <w:top w:val="double" w:color="auto" w:sz="6" w:space="0"/>
              <w:bottom w:val="single" w:color="auto" w:sz="6" w:space="0"/>
            </w:tcBorders>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8"/>
              <w:keepNext/>
              <w:spacing w:line="360" w:lineRule="exact"/>
              <w:ind w:left="63" w:right="63"/>
              <w:rPr>
                <w:kern w:val="2"/>
              </w:rPr>
            </w:pPr>
          </w:p>
        </w:tc>
        <w:tc>
          <w:tcPr>
            <w:tcW w:w="1984" w:type="dxa"/>
            <w:tcBorders>
              <w:top w:val="nil"/>
            </w:tcBorders>
          </w:tcPr>
          <w:p>
            <w:pPr>
              <w:pStyle w:val="18"/>
              <w:keepNext/>
              <w:spacing w:line="360" w:lineRule="exact"/>
              <w:ind w:left="63" w:right="63"/>
              <w:rPr>
                <w:kern w:val="2"/>
              </w:rPr>
            </w:pPr>
          </w:p>
        </w:tc>
        <w:tc>
          <w:tcPr>
            <w:tcW w:w="851" w:type="dxa"/>
            <w:tcBorders>
              <w:top w:val="nil"/>
            </w:tcBorders>
          </w:tcPr>
          <w:p>
            <w:pPr>
              <w:pStyle w:val="18"/>
              <w:keepNext/>
              <w:spacing w:line="360" w:lineRule="exact"/>
              <w:ind w:left="63" w:right="63"/>
              <w:rPr>
                <w:kern w:val="2"/>
              </w:rPr>
            </w:pPr>
          </w:p>
        </w:tc>
        <w:tc>
          <w:tcPr>
            <w:tcW w:w="774" w:type="dxa"/>
            <w:tcBorders>
              <w:top w:val="nil"/>
            </w:tcBorders>
          </w:tcPr>
          <w:p>
            <w:pPr>
              <w:pStyle w:val="18"/>
              <w:keepNext/>
              <w:spacing w:line="360" w:lineRule="exact"/>
              <w:ind w:left="63" w:right="63"/>
              <w:rPr>
                <w:kern w:val="2"/>
              </w:rPr>
            </w:pPr>
          </w:p>
        </w:tc>
        <w:tc>
          <w:tcPr>
            <w:tcW w:w="1352" w:type="dxa"/>
            <w:tcBorders>
              <w:top w:val="nil"/>
            </w:tcBorders>
          </w:tcPr>
          <w:p>
            <w:pPr>
              <w:pStyle w:val="18"/>
              <w:keepNext/>
              <w:spacing w:line="360" w:lineRule="exact"/>
              <w:ind w:left="63" w:right="63"/>
              <w:rPr>
                <w:kern w:val="2"/>
              </w:rPr>
            </w:pPr>
          </w:p>
        </w:tc>
        <w:tc>
          <w:tcPr>
            <w:tcW w:w="1418" w:type="dxa"/>
            <w:tcBorders>
              <w:top w:val="nil"/>
            </w:tcBorders>
          </w:tcPr>
          <w:p>
            <w:pPr>
              <w:pStyle w:val="18"/>
              <w:keepNext/>
              <w:spacing w:line="360" w:lineRule="exact"/>
              <w:ind w:left="63" w:right="63"/>
              <w:rPr>
                <w:kern w:val="2"/>
              </w:rPr>
            </w:pPr>
          </w:p>
        </w:tc>
        <w:tc>
          <w:tcPr>
            <w:tcW w:w="1701" w:type="dxa"/>
            <w:tcBorders>
              <w:top w:val="nil"/>
            </w:tcBorders>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bl>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rPr>
          <w:rFonts w:ascii="宋体" w:hAnsi="宋体"/>
          <w:sz w:val="24"/>
        </w:rPr>
      </w:pPr>
    </w:p>
    <w:p>
      <w:pPr>
        <w:spacing w:beforeLines="50" w:afterLines="50" w:line="360" w:lineRule="exact"/>
        <w:ind w:firstLine="480"/>
        <w:jc w:val="center"/>
        <w:rPr>
          <w:rFonts w:ascii="宋体" w:hAnsi="宋体"/>
          <w:sz w:val="24"/>
        </w:rPr>
      </w:pPr>
      <w:r>
        <w:rPr>
          <w:rFonts w:ascii="宋体" w:hAnsi="宋体"/>
          <w:sz w:val="24"/>
        </w:rPr>
        <w:t>11-2：工程设备暂估价表</w:t>
      </w:r>
    </w:p>
    <w:tbl>
      <w:tblPr>
        <w:tblStyle w:val="41"/>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single" w:color="auto" w:sz="12" w:space="0"/>
              <w:bottom w:val="double" w:color="auto" w:sz="6" w:space="0"/>
            </w:tcBorders>
          </w:tcPr>
          <w:p>
            <w:pPr>
              <w:pStyle w:val="18"/>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8"/>
              <w:keepNext/>
              <w:spacing w:line="360" w:lineRule="exact"/>
              <w:ind w:left="63" w:right="63"/>
              <w:rPr>
                <w:kern w:val="2"/>
              </w:rPr>
            </w:pPr>
            <w:r>
              <w:rPr>
                <w:kern w:val="2"/>
              </w:rPr>
              <w:t>名称</w:t>
            </w:r>
          </w:p>
        </w:tc>
        <w:tc>
          <w:tcPr>
            <w:tcW w:w="851" w:type="dxa"/>
            <w:tcBorders>
              <w:top w:val="single" w:color="auto" w:sz="12" w:space="0"/>
              <w:bottom w:val="double" w:color="auto" w:sz="6" w:space="0"/>
            </w:tcBorders>
          </w:tcPr>
          <w:p>
            <w:pPr>
              <w:pStyle w:val="18"/>
              <w:keepNext/>
              <w:spacing w:line="360" w:lineRule="exact"/>
              <w:ind w:left="63" w:right="63"/>
              <w:rPr>
                <w:kern w:val="2"/>
              </w:rPr>
            </w:pPr>
            <w:r>
              <w:rPr>
                <w:kern w:val="2"/>
              </w:rPr>
              <w:t>单位</w:t>
            </w:r>
          </w:p>
        </w:tc>
        <w:tc>
          <w:tcPr>
            <w:tcW w:w="774" w:type="dxa"/>
            <w:tcBorders>
              <w:top w:val="single" w:color="auto" w:sz="12" w:space="0"/>
              <w:bottom w:val="double" w:color="auto" w:sz="6" w:space="0"/>
            </w:tcBorders>
          </w:tcPr>
          <w:p>
            <w:pPr>
              <w:pStyle w:val="18"/>
              <w:keepNext/>
              <w:spacing w:line="360" w:lineRule="exact"/>
              <w:ind w:left="63" w:right="63"/>
              <w:rPr>
                <w:kern w:val="2"/>
              </w:rPr>
            </w:pPr>
            <w:r>
              <w:rPr>
                <w:kern w:val="2"/>
              </w:rPr>
              <w:t>数量</w:t>
            </w:r>
          </w:p>
        </w:tc>
        <w:tc>
          <w:tcPr>
            <w:tcW w:w="1352" w:type="dxa"/>
            <w:tcBorders>
              <w:top w:val="single" w:color="auto" w:sz="12" w:space="0"/>
              <w:bottom w:val="double" w:color="auto" w:sz="6" w:space="0"/>
            </w:tcBorders>
          </w:tcPr>
          <w:p>
            <w:pPr>
              <w:pStyle w:val="18"/>
              <w:keepNext/>
              <w:spacing w:line="360" w:lineRule="exact"/>
              <w:ind w:left="63" w:right="63"/>
              <w:rPr>
                <w:kern w:val="2"/>
              </w:rPr>
            </w:pPr>
            <w:r>
              <w:rPr>
                <w:kern w:val="2"/>
              </w:rPr>
              <w:t>单价</w:t>
            </w:r>
            <w:r>
              <w:rPr>
                <w:rFonts w:hint="eastAsia"/>
                <w:kern w:val="2"/>
              </w:rPr>
              <w:t>（元）</w:t>
            </w:r>
          </w:p>
        </w:tc>
        <w:tc>
          <w:tcPr>
            <w:tcW w:w="1418" w:type="dxa"/>
            <w:tcBorders>
              <w:top w:val="single" w:color="auto" w:sz="12" w:space="0"/>
              <w:bottom w:val="double" w:color="auto" w:sz="6" w:space="0"/>
            </w:tcBorders>
          </w:tcPr>
          <w:p>
            <w:pPr>
              <w:pStyle w:val="18"/>
              <w:keepNext/>
              <w:spacing w:line="360" w:lineRule="exact"/>
              <w:ind w:left="63" w:right="63"/>
              <w:rPr>
                <w:kern w:val="2"/>
              </w:rPr>
            </w:pPr>
            <w:r>
              <w:rPr>
                <w:kern w:val="2"/>
              </w:rPr>
              <w:t>合价</w:t>
            </w:r>
            <w:r>
              <w:rPr>
                <w:rFonts w:hint="eastAsia"/>
                <w:kern w:val="2"/>
              </w:rPr>
              <w:t>（元）</w:t>
            </w:r>
          </w:p>
        </w:tc>
        <w:tc>
          <w:tcPr>
            <w:tcW w:w="1701" w:type="dxa"/>
            <w:tcBorders>
              <w:top w:val="single" w:color="auto" w:sz="12" w:space="0"/>
              <w:bottom w:val="double" w:color="auto" w:sz="6" w:space="0"/>
            </w:tcBorders>
          </w:tcPr>
          <w:p>
            <w:pPr>
              <w:pStyle w:val="18"/>
              <w:keepNext/>
              <w:spacing w:line="360" w:lineRule="exact"/>
              <w:ind w:left="63" w:right="63"/>
              <w:rPr>
                <w:kern w:val="2"/>
              </w:rPr>
            </w:pPr>
            <w:r>
              <w:rPr>
                <w:kern w:val="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double" w:color="auto" w:sz="6" w:space="0"/>
              <w:bottom w:val="single" w:color="auto" w:sz="6" w:space="0"/>
            </w:tcBorders>
          </w:tcPr>
          <w:p>
            <w:pPr>
              <w:pStyle w:val="18"/>
              <w:keepNext/>
              <w:spacing w:line="360" w:lineRule="exact"/>
              <w:ind w:left="63" w:right="63"/>
              <w:rPr>
                <w:kern w:val="2"/>
              </w:rPr>
            </w:pPr>
          </w:p>
        </w:tc>
        <w:tc>
          <w:tcPr>
            <w:tcW w:w="1984" w:type="dxa"/>
            <w:tcBorders>
              <w:top w:val="double" w:color="auto" w:sz="6" w:space="0"/>
              <w:bottom w:val="single" w:color="auto" w:sz="6" w:space="0"/>
            </w:tcBorders>
          </w:tcPr>
          <w:p>
            <w:pPr>
              <w:pStyle w:val="18"/>
              <w:keepNext/>
              <w:spacing w:line="360" w:lineRule="exact"/>
              <w:ind w:left="63" w:right="63"/>
              <w:rPr>
                <w:kern w:val="2"/>
              </w:rPr>
            </w:pPr>
          </w:p>
        </w:tc>
        <w:tc>
          <w:tcPr>
            <w:tcW w:w="851" w:type="dxa"/>
            <w:tcBorders>
              <w:top w:val="double" w:color="auto" w:sz="6" w:space="0"/>
              <w:bottom w:val="single" w:color="auto" w:sz="6" w:space="0"/>
            </w:tcBorders>
          </w:tcPr>
          <w:p>
            <w:pPr>
              <w:pStyle w:val="18"/>
              <w:keepNext/>
              <w:spacing w:line="360" w:lineRule="exact"/>
              <w:ind w:left="63" w:right="63"/>
              <w:rPr>
                <w:kern w:val="2"/>
              </w:rPr>
            </w:pPr>
          </w:p>
        </w:tc>
        <w:tc>
          <w:tcPr>
            <w:tcW w:w="774" w:type="dxa"/>
            <w:tcBorders>
              <w:top w:val="double" w:color="auto" w:sz="6" w:space="0"/>
              <w:bottom w:val="single" w:color="auto" w:sz="6" w:space="0"/>
            </w:tcBorders>
          </w:tcPr>
          <w:p>
            <w:pPr>
              <w:pStyle w:val="18"/>
              <w:keepNext/>
              <w:spacing w:line="360" w:lineRule="exact"/>
              <w:ind w:left="63" w:right="63"/>
              <w:rPr>
                <w:kern w:val="2"/>
              </w:rPr>
            </w:pPr>
          </w:p>
        </w:tc>
        <w:tc>
          <w:tcPr>
            <w:tcW w:w="1352" w:type="dxa"/>
            <w:tcBorders>
              <w:top w:val="double" w:color="auto" w:sz="6" w:space="0"/>
              <w:bottom w:val="single" w:color="auto" w:sz="6" w:space="0"/>
            </w:tcBorders>
          </w:tcPr>
          <w:p>
            <w:pPr>
              <w:pStyle w:val="18"/>
              <w:keepNext/>
              <w:spacing w:line="360" w:lineRule="exact"/>
              <w:ind w:left="63" w:right="63"/>
              <w:rPr>
                <w:kern w:val="2"/>
              </w:rPr>
            </w:pPr>
          </w:p>
        </w:tc>
        <w:tc>
          <w:tcPr>
            <w:tcW w:w="1418" w:type="dxa"/>
            <w:tcBorders>
              <w:top w:val="double" w:color="auto" w:sz="6" w:space="0"/>
              <w:bottom w:val="single" w:color="auto" w:sz="6" w:space="0"/>
            </w:tcBorders>
          </w:tcPr>
          <w:p>
            <w:pPr>
              <w:pStyle w:val="18"/>
              <w:keepNext/>
              <w:spacing w:line="360" w:lineRule="exact"/>
              <w:ind w:left="63" w:right="63"/>
              <w:rPr>
                <w:kern w:val="2"/>
              </w:rPr>
            </w:pPr>
          </w:p>
        </w:tc>
        <w:tc>
          <w:tcPr>
            <w:tcW w:w="1701" w:type="dxa"/>
            <w:tcBorders>
              <w:top w:val="double" w:color="auto" w:sz="6" w:space="0"/>
              <w:bottom w:val="single" w:color="auto" w:sz="6" w:space="0"/>
            </w:tcBorders>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Borders>
              <w:top w:val="nil"/>
            </w:tcBorders>
          </w:tcPr>
          <w:p>
            <w:pPr>
              <w:pStyle w:val="18"/>
              <w:keepNext/>
              <w:spacing w:line="360" w:lineRule="exact"/>
              <w:ind w:left="63" w:right="63"/>
              <w:rPr>
                <w:kern w:val="2"/>
              </w:rPr>
            </w:pPr>
          </w:p>
        </w:tc>
        <w:tc>
          <w:tcPr>
            <w:tcW w:w="1984" w:type="dxa"/>
            <w:tcBorders>
              <w:top w:val="nil"/>
            </w:tcBorders>
          </w:tcPr>
          <w:p>
            <w:pPr>
              <w:pStyle w:val="18"/>
              <w:keepNext/>
              <w:spacing w:line="360" w:lineRule="exact"/>
              <w:ind w:left="63" w:right="63"/>
              <w:rPr>
                <w:kern w:val="2"/>
              </w:rPr>
            </w:pPr>
          </w:p>
        </w:tc>
        <w:tc>
          <w:tcPr>
            <w:tcW w:w="851" w:type="dxa"/>
            <w:tcBorders>
              <w:top w:val="nil"/>
            </w:tcBorders>
          </w:tcPr>
          <w:p>
            <w:pPr>
              <w:pStyle w:val="18"/>
              <w:keepNext/>
              <w:spacing w:line="360" w:lineRule="exact"/>
              <w:ind w:left="63" w:right="63"/>
              <w:rPr>
                <w:kern w:val="2"/>
              </w:rPr>
            </w:pPr>
          </w:p>
        </w:tc>
        <w:tc>
          <w:tcPr>
            <w:tcW w:w="774" w:type="dxa"/>
            <w:tcBorders>
              <w:top w:val="nil"/>
            </w:tcBorders>
          </w:tcPr>
          <w:p>
            <w:pPr>
              <w:pStyle w:val="18"/>
              <w:keepNext/>
              <w:spacing w:line="360" w:lineRule="exact"/>
              <w:ind w:left="63" w:right="63"/>
              <w:rPr>
                <w:kern w:val="2"/>
              </w:rPr>
            </w:pPr>
          </w:p>
        </w:tc>
        <w:tc>
          <w:tcPr>
            <w:tcW w:w="1352" w:type="dxa"/>
            <w:tcBorders>
              <w:top w:val="nil"/>
            </w:tcBorders>
          </w:tcPr>
          <w:p>
            <w:pPr>
              <w:pStyle w:val="18"/>
              <w:keepNext/>
              <w:spacing w:line="360" w:lineRule="exact"/>
              <w:ind w:left="63" w:right="63"/>
              <w:rPr>
                <w:kern w:val="2"/>
              </w:rPr>
            </w:pPr>
          </w:p>
        </w:tc>
        <w:tc>
          <w:tcPr>
            <w:tcW w:w="1418" w:type="dxa"/>
            <w:tcBorders>
              <w:top w:val="nil"/>
            </w:tcBorders>
          </w:tcPr>
          <w:p>
            <w:pPr>
              <w:pStyle w:val="18"/>
              <w:keepNext/>
              <w:spacing w:line="360" w:lineRule="exact"/>
              <w:ind w:left="63" w:right="63"/>
              <w:rPr>
                <w:kern w:val="2"/>
              </w:rPr>
            </w:pPr>
          </w:p>
        </w:tc>
        <w:tc>
          <w:tcPr>
            <w:tcW w:w="1701" w:type="dxa"/>
            <w:tcBorders>
              <w:top w:val="nil"/>
            </w:tcBorders>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993"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851" w:type="dxa"/>
          </w:tcPr>
          <w:p>
            <w:pPr>
              <w:pStyle w:val="18"/>
              <w:keepNext/>
              <w:spacing w:line="360" w:lineRule="exact"/>
              <w:ind w:left="63" w:right="63"/>
              <w:rPr>
                <w:kern w:val="2"/>
              </w:rPr>
            </w:pPr>
          </w:p>
        </w:tc>
        <w:tc>
          <w:tcPr>
            <w:tcW w:w="774" w:type="dxa"/>
          </w:tcPr>
          <w:p>
            <w:pPr>
              <w:pStyle w:val="18"/>
              <w:keepNext/>
              <w:spacing w:line="360" w:lineRule="exact"/>
              <w:ind w:left="63" w:right="63"/>
              <w:rPr>
                <w:kern w:val="2"/>
              </w:rPr>
            </w:pPr>
          </w:p>
        </w:tc>
        <w:tc>
          <w:tcPr>
            <w:tcW w:w="1352" w:type="dxa"/>
          </w:tcPr>
          <w:p>
            <w:pPr>
              <w:pStyle w:val="18"/>
              <w:keepNext/>
              <w:spacing w:line="360" w:lineRule="exact"/>
              <w:ind w:left="63" w:right="63"/>
              <w:rPr>
                <w:kern w:val="2"/>
              </w:rPr>
            </w:pPr>
          </w:p>
        </w:tc>
        <w:tc>
          <w:tcPr>
            <w:tcW w:w="1418" w:type="dxa"/>
          </w:tcPr>
          <w:p>
            <w:pPr>
              <w:pStyle w:val="18"/>
              <w:keepNext/>
              <w:spacing w:line="360" w:lineRule="exact"/>
              <w:ind w:left="63" w:right="63"/>
              <w:rPr>
                <w:kern w:val="2"/>
              </w:rPr>
            </w:pPr>
          </w:p>
        </w:tc>
        <w:tc>
          <w:tcPr>
            <w:tcW w:w="1701" w:type="dxa"/>
          </w:tcPr>
          <w:p>
            <w:pPr>
              <w:pStyle w:val="18"/>
              <w:keepNext/>
              <w:spacing w:line="360" w:lineRule="exact"/>
              <w:ind w:left="63" w:right="63"/>
              <w:rPr>
                <w:kern w:val="2"/>
              </w:rPr>
            </w:pPr>
          </w:p>
        </w:tc>
      </w:tr>
    </w:tbl>
    <w:p>
      <w:pPr>
        <w:spacing w:line="360" w:lineRule="exact"/>
        <w:ind w:firstLine="480"/>
        <w:rPr>
          <w:rFonts w:ascii="宋体" w:hAnsi="宋体"/>
          <w:sz w:val="24"/>
        </w:rPr>
      </w:pPr>
    </w:p>
    <w:p>
      <w:pPr>
        <w:spacing w:beforeLines="50" w:afterLines="50" w:line="360" w:lineRule="exact"/>
        <w:ind w:firstLine="480"/>
        <w:jc w:val="center"/>
        <w:rPr>
          <w:rFonts w:ascii="宋体" w:hAnsi="宋体"/>
          <w:sz w:val="24"/>
        </w:rPr>
      </w:pPr>
      <w:r>
        <w:rPr>
          <w:rFonts w:ascii="宋体" w:hAnsi="宋体"/>
          <w:sz w:val="24"/>
        </w:rPr>
        <w:br w:type="page"/>
      </w:r>
      <w:r>
        <w:rPr>
          <w:rFonts w:ascii="宋体" w:hAnsi="宋体"/>
          <w:sz w:val="24"/>
        </w:rPr>
        <w:t>11-3：专业工程暂估价表</w:t>
      </w:r>
    </w:p>
    <w:tbl>
      <w:tblPr>
        <w:tblStyle w:val="41"/>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single" w:color="auto" w:sz="12" w:space="0"/>
              <w:bottom w:val="double" w:color="auto" w:sz="6" w:space="0"/>
            </w:tcBorders>
          </w:tcPr>
          <w:p>
            <w:pPr>
              <w:pStyle w:val="18"/>
              <w:keepNext/>
              <w:spacing w:line="360" w:lineRule="exact"/>
              <w:ind w:left="63" w:right="63"/>
              <w:rPr>
                <w:kern w:val="2"/>
              </w:rPr>
            </w:pPr>
            <w:r>
              <w:rPr>
                <w:kern w:val="2"/>
              </w:rPr>
              <w:t>序号</w:t>
            </w:r>
          </w:p>
        </w:tc>
        <w:tc>
          <w:tcPr>
            <w:tcW w:w="1984" w:type="dxa"/>
            <w:tcBorders>
              <w:top w:val="single" w:color="auto" w:sz="12" w:space="0"/>
              <w:bottom w:val="double" w:color="auto" w:sz="6" w:space="0"/>
            </w:tcBorders>
          </w:tcPr>
          <w:p>
            <w:pPr>
              <w:pStyle w:val="18"/>
              <w:keepNext/>
              <w:spacing w:line="360" w:lineRule="exact"/>
              <w:ind w:left="63" w:right="63"/>
              <w:rPr>
                <w:kern w:val="2"/>
              </w:rPr>
            </w:pPr>
            <w:r>
              <w:rPr>
                <w:kern w:val="2"/>
              </w:rPr>
              <w:t>专业工程名称</w:t>
            </w:r>
          </w:p>
        </w:tc>
        <w:tc>
          <w:tcPr>
            <w:tcW w:w="4678" w:type="dxa"/>
            <w:tcBorders>
              <w:top w:val="single" w:color="auto" w:sz="12" w:space="0"/>
              <w:bottom w:val="double" w:color="auto" w:sz="6" w:space="0"/>
            </w:tcBorders>
          </w:tcPr>
          <w:p>
            <w:pPr>
              <w:pStyle w:val="18"/>
              <w:keepNext/>
              <w:spacing w:line="360" w:lineRule="exact"/>
              <w:ind w:left="63" w:right="63"/>
              <w:rPr>
                <w:kern w:val="2"/>
              </w:rPr>
            </w:pPr>
            <w:r>
              <w:rPr>
                <w:kern w:val="2"/>
              </w:rPr>
              <w:t>工程内容</w:t>
            </w:r>
          </w:p>
        </w:tc>
        <w:tc>
          <w:tcPr>
            <w:tcW w:w="1276" w:type="dxa"/>
            <w:tcBorders>
              <w:top w:val="single" w:color="auto" w:sz="12" w:space="0"/>
              <w:bottom w:val="double" w:color="auto" w:sz="6" w:space="0"/>
            </w:tcBorders>
          </w:tcPr>
          <w:p>
            <w:pPr>
              <w:pStyle w:val="18"/>
              <w:keepNext/>
              <w:spacing w:line="360" w:lineRule="exact"/>
              <w:ind w:left="63" w:right="63"/>
              <w:rPr>
                <w:kern w:val="2"/>
              </w:rPr>
            </w:pPr>
            <w:r>
              <w:rPr>
                <w:kern w:val="2"/>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double" w:color="auto" w:sz="6" w:space="0"/>
              <w:bottom w:val="single" w:color="auto" w:sz="6" w:space="0"/>
            </w:tcBorders>
          </w:tcPr>
          <w:p>
            <w:pPr>
              <w:pStyle w:val="18"/>
              <w:keepNext/>
              <w:spacing w:line="360" w:lineRule="exact"/>
              <w:ind w:left="63" w:right="63"/>
              <w:rPr>
                <w:kern w:val="2"/>
              </w:rPr>
            </w:pPr>
          </w:p>
        </w:tc>
        <w:tc>
          <w:tcPr>
            <w:tcW w:w="1984" w:type="dxa"/>
            <w:tcBorders>
              <w:top w:val="double" w:color="auto" w:sz="6" w:space="0"/>
              <w:bottom w:val="single" w:color="auto" w:sz="6" w:space="0"/>
            </w:tcBorders>
          </w:tcPr>
          <w:p>
            <w:pPr>
              <w:pStyle w:val="18"/>
              <w:keepNext/>
              <w:spacing w:line="360" w:lineRule="exact"/>
              <w:ind w:left="63" w:right="63"/>
              <w:rPr>
                <w:kern w:val="2"/>
              </w:rPr>
            </w:pPr>
          </w:p>
        </w:tc>
        <w:tc>
          <w:tcPr>
            <w:tcW w:w="4678" w:type="dxa"/>
            <w:tcBorders>
              <w:top w:val="double" w:color="auto" w:sz="6" w:space="0"/>
              <w:bottom w:val="single" w:color="auto" w:sz="6" w:space="0"/>
            </w:tcBorders>
          </w:tcPr>
          <w:p>
            <w:pPr>
              <w:pStyle w:val="18"/>
              <w:keepNext/>
              <w:spacing w:line="360" w:lineRule="exact"/>
              <w:ind w:left="63" w:right="63"/>
              <w:rPr>
                <w:kern w:val="2"/>
              </w:rPr>
            </w:pPr>
          </w:p>
        </w:tc>
        <w:tc>
          <w:tcPr>
            <w:tcW w:w="1276" w:type="dxa"/>
            <w:tcBorders>
              <w:top w:val="double" w:color="auto" w:sz="6" w:space="0"/>
              <w:bottom w:val="single" w:color="auto" w:sz="6" w:space="0"/>
            </w:tcBorders>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18"/>
              <w:keepNext/>
              <w:spacing w:line="360" w:lineRule="exact"/>
              <w:ind w:left="63" w:right="63"/>
              <w:rPr>
                <w:kern w:val="2"/>
              </w:rPr>
            </w:pPr>
          </w:p>
        </w:tc>
        <w:tc>
          <w:tcPr>
            <w:tcW w:w="1984" w:type="dxa"/>
            <w:tcBorders>
              <w:top w:val="nil"/>
            </w:tcBorders>
          </w:tcPr>
          <w:p>
            <w:pPr>
              <w:pStyle w:val="18"/>
              <w:keepNext/>
              <w:spacing w:line="360" w:lineRule="exact"/>
              <w:ind w:left="63" w:right="63"/>
              <w:rPr>
                <w:kern w:val="2"/>
              </w:rPr>
            </w:pPr>
          </w:p>
        </w:tc>
        <w:tc>
          <w:tcPr>
            <w:tcW w:w="4678" w:type="dxa"/>
            <w:tcBorders>
              <w:top w:val="nil"/>
            </w:tcBorders>
          </w:tcPr>
          <w:p>
            <w:pPr>
              <w:pStyle w:val="18"/>
              <w:keepNext/>
              <w:spacing w:line="360" w:lineRule="exact"/>
              <w:ind w:left="63" w:right="63"/>
              <w:rPr>
                <w:kern w:val="2"/>
              </w:rPr>
            </w:pPr>
          </w:p>
        </w:tc>
        <w:tc>
          <w:tcPr>
            <w:tcW w:w="1276" w:type="dxa"/>
            <w:tcBorders>
              <w:top w:val="nil"/>
            </w:tcBorders>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Borders>
              <w:top w:val="nil"/>
            </w:tcBorders>
          </w:tcPr>
          <w:p>
            <w:pPr>
              <w:pStyle w:val="18"/>
              <w:keepNext/>
              <w:spacing w:line="360" w:lineRule="exact"/>
              <w:ind w:left="63" w:right="63"/>
              <w:rPr>
                <w:kern w:val="2"/>
              </w:rPr>
            </w:pPr>
          </w:p>
        </w:tc>
        <w:tc>
          <w:tcPr>
            <w:tcW w:w="1984" w:type="dxa"/>
            <w:tcBorders>
              <w:top w:val="nil"/>
            </w:tcBorders>
          </w:tcPr>
          <w:p>
            <w:pPr>
              <w:pStyle w:val="18"/>
              <w:keepNext/>
              <w:spacing w:line="360" w:lineRule="exact"/>
              <w:ind w:left="63" w:right="63"/>
              <w:rPr>
                <w:kern w:val="2"/>
              </w:rPr>
            </w:pPr>
          </w:p>
        </w:tc>
        <w:tc>
          <w:tcPr>
            <w:tcW w:w="4678" w:type="dxa"/>
            <w:tcBorders>
              <w:top w:val="nil"/>
            </w:tcBorders>
          </w:tcPr>
          <w:p>
            <w:pPr>
              <w:pStyle w:val="18"/>
              <w:keepNext/>
              <w:spacing w:line="360" w:lineRule="exact"/>
              <w:ind w:left="63" w:right="63"/>
              <w:rPr>
                <w:kern w:val="2"/>
              </w:rPr>
            </w:pPr>
          </w:p>
        </w:tc>
        <w:tc>
          <w:tcPr>
            <w:tcW w:w="1276" w:type="dxa"/>
            <w:tcBorders>
              <w:top w:val="nil"/>
            </w:tcBorders>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79" w:type="dxa"/>
          </w:tcPr>
          <w:p>
            <w:pPr>
              <w:pStyle w:val="18"/>
              <w:keepNext/>
              <w:spacing w:line="360" w:lineRule="exact"/>
              <w:ind w:left="63" w:right="63"/>
              <w:rPr>
                <w:kern w:val="2"/>
              </w:rPr>
            </w:pPr>
          </w:p>
        </w:tc>
        <w:tc>
          <w:tcPr>
            <w:tcW w:w="1984" w:type="dxa"/>
          </w:tcPr>
          <w:p>
            <w:pPr>
              <w:pStyle w:val="18"/>
              <w:keepNext/>
              <w:spacing w:line="360" w:lineRule="exact"/>
              <w:ind w:left="63" w:right="63"/>
              <w:rPr>
                <w:kern w:val="2"/>
              </w:rPr>
            </w:pPr>
          </w:p>
        </w:tc>
        <w:tc>
          <w:tcPr>
            <w:tcW w:w="4678" w:type="dxa"/>
          </w:tcPr>
          <w:p>
            <w:pPr>
              <w:pStyle w:val="18"/>
              <w:keepNext/>
              <w:spacing w:line="360" w:lineRule="exact"/>
              <w:ind w:left="63" w:right="63"/>
              <w:rPr>
                <w:kern w:val="2"/>
              </w:rPr>
            </w:pPr>
          </w:p>
        </w:tc>
        <w:tc>
          <w:tcPr>
            <w:tcW w:w="1276" w:type="dxa"/>
          </w:tcPr>
          <w:p>
            <w:pPr>
              <w:pStyle w:val="18"/>
              <w:keepNext/>
              <w:spacing w:line="360" w:lineRule="exact"/>
              <w:ind w:left="63" w:right="63"/>
              <w:rPr>
                <w:kern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c>
          <w:tcPr>
            <w:tcW w:w="8817" w:type="dxa"/>
            <w:gridSpan w:val="4"/>
          </w:tcPr>
          <w:p>
            <w:pPr>
              <w:pStyle w:val="18"/>
              <w:keepNext/>
              <w:spacing w:line="360" w:lineRule="exact"/>
              <w:ind w:left="63" w:right="63"/>
              <w:rPr>
                <w:kern w:val="2"/>
              </w:rPr>
            </w:pPr>
            <w:r>
              <w:rPr>
                <w:kern w:val="2"/>
              </w:rPr>
              <w:t>小计：</w:t>
            </w:r>
          </w:p>
        </w:tc>
      </w:tr>
    </w:tbl>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r>
        <w:rPr>
          <w:rFonts w:hint="eastAsia" w:ascii="宋体" w:hAnsi="宋体"/>
          <w:sz w:val="24"/>
        </w:rPr>
        <w:t>附件9：</w:t>
      </w:r>
    </w:p>
    <w:p>
      <w:pPr>
        <w:spacing w:line="360" w:lineRule="exact"/>
        <w:ind w:firstLine="480"/>
        <w:jc w:val="center"/>
        <w:rPr>
          <w:rFonts w:ascii="宋体" w:hAnsi="宋体"/>
          <w:sz w:val="24"/>
        </w:rPr>
      </w:pPr>
      <w:r>
        <w:rPr>
          <w:rFonts w:hint="eastAsia" w:ascii="宋体" w:hAnsi="宋体"/>
          <w:sz w:val="24"/>
        </w:rPr>
        <w:t>结算审计准备资料表</w:t>
      </w: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sz w:val="24"/>
        </w:rPr>
      </w:pPr>
    </w:p>
    <w:p>
      <w:pPr>
        <w:spacing w:line="360" w:lineRule="exact"/>
        <w:ind w:firstLine="480"/>
        <w:rPr>
          <w:rFonts w:ascii="宋体" w:hAnsi="宋体"/>
          <w:bCs/>
          <w:sz w:val="24"/>
        </w:rPr>
      </w:pPr>
      <w:r>
        <w:rPr>
          <w:rFonts w:hint="eastAsia" w:ascii="宋体" w:hAnsi="宋体"/>
          <w:bCs/>
          <w:sz w:val="24"/>
        </w:rPr>
        <w:t>附件10：</w:t>
      </w:r>
    </w:p>
    <w:p>
      <w:pPr>
        <w:spacing w:line="360" w:lineRule="exact"/>
        <w:ind w:firstLine="480"/>
        <w:jc w:val="center"/>
        <w:rPr>
          <w:rFonts w:ascii="宋体" w:hAnsi="宋体"/>
          <w:bCs/>
          <w:sz w:val="24"/>
        </w:rPr>
      </w:pPr>
      <w:r>
        <w:rPr>
          <w:rFonts w:hint="eastAsia" w:ascii="宋体" w:hAnsi="宋体"/>
          <w:bCs/>
          <w:sz w:val="24"/>
        </w:rPr>
        <w:t>建设工程施工安全责任书</w:t>
      </w:r>
    </w:p>
    <w:p>
      <w:pPr>
        <w:ind w:firstLine="480"/>
        <w:rPr>
          <w:sz w:val="24"/>
        </w:rPr>
      </w:pPr>
      <w:bookmarkStart w:id="1104" w:name="_Toc18683371"/>
      <w:r>
        <w:rPr>
          <w:rFonts w:hint="eastAsia"/>
          <w:sz w:val="24"/>
        </w:rPr>
        <w:t>甲方（总包方）：北京清华长庚医院</w:t>
      </w:r>
      <w:bookmarkEnd w:id="1104"/>
    </w:p>
    <w:p>
      <w:pPr>
        <w:ind w:firstLine="480"/>
        <w:rPr>
          <w:sz w:val="24"/>
        </w:rPr>
      </w:pPr>
      <w:bookmarkStart w:id="1105" w:name="_Toc18683372"/>
      <w:r>
        <w:rPr>
          <w:rFonts w:hint="eastAsia"/>
          <w:sz w:val="24"/>
        </w:rPr>
        <w:t>乙方（承包方）：</w:t>
      </w:r>
      <w:bookmarkEnd w:id="1105"/>
    </w:p>
    <w:p>
      <w:pPr>
        <w:ind w:firstLine="480"/>
        <w:rPr>
          <w:sz w:val="24"/>
        </w:rPr>
      </w:pPr>
    </w:p>
    <w:p>
      <w:pPr>
        <w:ind w:firstLine="480"/>
        <w:rPr>
          <w:sz w:val="24"/>
        </w:rPr>
      </w:pPr>
      <w:bookmarkStart w:id="1106" w:name="_Toc18683373"/>
      <w:r>
        <w:rPr>
          <w:rFonts w:hint="eastAsia"/>
          <w:sz w:val="24"/>
        </w:rPr>
        <w:t>经甲乙双方协商:甲方将                             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法规，甲乙双方特订立此建设工程安全生产责任书，双方共同遵守。</w:t>
      </w:r>
      <w:bookmarkEnd w:id="1106"/>
    </w:p>
    <w:p>
      <w:pPr>
        <w:ind w:firstLine="480"/>
        <w:rPr>
          <w:sz w:val="24"/>
        </w:rPr>
      </w:pPr>
      <w:bookmarkStart w:id="1107" w:name="_Toc18683374"/>
      <w:r>
        <w:rPr>
          <w:rFonts w:hint="eastAsia"/>
          <w:sz w:val="24"/>
        </w:rPr>
        <w:t>一、 工程劳务承包方责任</w:t>
      </w:r>
      <w:bookmarkEnd w:id="1107"/>
    </w:p>
    <w:p>
      <w:pPr>
        <w:ind w:firstLine="480"/>
        <w:rPr>
          <w:sz w:val="24"/>
        </w:rPr>
      </w:pPr>
      <w:bookmarkStart w:id="1108" w:name="_Toc18683375"/>
      <w:r>
        <w:rPr>
          <w:rFonts w:hint="eastAsia"/>
          <w:sz w:val="24"/>
        </w:rPr>
        <w:t>1、 劳务承包施工企业对施工现场安全生产负有主要责任。分包施工企业必须建立健全安全生产管理体系。企业法人为安全生产第一责任人，对本企业的安全生产负责。</w:t>
      </w:r>
      <w:bookmarkEnd w:id="1108"/>
    </w:p>
    <w:p>
      <w:pPr>
        <w:ind w:firstLine="480"/>
        <w:rPr>
          <w:sz w:val="24"/>
        </w:rPr>
      </w:pPr>
      <w:bookmarkStart w:id="1109" w:name="_Toc18683376"/>
      <w:r>
        <w:rPr>
          <w:rFonts w:hint="eastAsia"/>
          <w:sz w:val="24"/>
        </w:rPr>
        <w:t>2、 施工现场必须建立健全安全生产责任制，承包方项目经理为施工现场</w:t>
      </w:r>
      <w:r>
        <w:rPr>
          <w:rFonts w:hint="eastAsia"/>
          <w:kern w:val="0"/>
          <w:sz w:val="24"/>
          <w:lang w:bidi="en-US"/>
        </w:rPr>
        <w:t>安</w:t>
      </w:r>
      <w:r>
        <w:rPr>
          <w:rFonts w:hint="eastAsia"/>
          <w:sz w:val="24"/>
        </w:rPr>
        <w:t>全管理第一责任人，负责本项目安全生产的组织与实施。</w:t>
      </w:r>
      <w:bookmarkEnd w:id="1109"/>
    </w:p>
    <w:p>
      <w:pPr>
        <w:ind w:firstLine="480"/>
        <w:rPr>
          <w:sz w:val="24"/>
        </w:rPr>
      </w:pPr>
      <w:bookmarkStart w:id="1110" w:name="_Toc18683377"/>
      <w:r>
        <w:rPr>
          <w:rFonts w:hint="eastAsia"/>
          <w:sz w:val="24"/>
        </w:rPr>
        <w:t>3、 承包施工企业应当根据施工组织设计，工程特点制定相应的安全技术措施；对专业性较强的分部分项工程，应按专项安全方案，并采取措施严格执行。</w:t>
      </w:r>
      <w:bookmarkEnd w:id="1110"/>
    </w:p>
    <w:p>
      <w:pPr>
        <w:ind w:firstLine="480"/>
        <w:rPr>
          <w:sz w:val="24"/>
        </w:rPr>
      </w:pPr>
      <w:bookmarkStart w:id="1111" w:name="_Toc18683378"/>
      <w:r>
        <w:rPr>
          <w:rFonts w:hint="eastAsia"/>
          <w:sz w:val="24"/>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bookmarkEnd w:id="1111"/>
    </w:p>
    <w:p>
      <w:pPr>
        <w:ind w:firstLine="480"/>
        <w:rPr>
          <w:sz w:val="24"/>
        </w:rPr>
      </w:pPr>
      <w:bookmarkStart w:id="1112" w:name="_Toc18683379"/>
      <w:r>
        <w:rPr>
          <w:rFonts w:hint="eastAsia"/>
          <w:sz w:val="24"/>
        </w:rPr>
        <w:t>5、 承包施工企业及工地应严格执行国家及建设行政主管部门有关建筑安全的各项法律、法令、法规及行业规章、规程等管理规定。严格执行现行的“一标准三规范”《建筑施工安全检查标准》（JG59-2011），《建筑施工高处作业安全技术规范》JGJ80-2016；《龙门架及井架物料提升机安全技术规范》JGJ88-2010；《施工现场临时用电安全技术规范》JGJ46-2005。严禁各类违章指挥与违章作业，施工企业应根据安全检验评分标准加强安全日常检查，对存在的问题及时整改，并作好记录。</w:t>
      </w:r>
      <w:bookmarkEnd w:id="1112"/>
    </w:p>
    <w:p>
      <w:pPr>
        <w:ind w:firstLine="480"/>
        <w:rPr>
          <w:sz w:val="24"/>
        </w:rPr>
      </w:pPr>
      <w:bookmarkStart w:id="1113" w:name="_Toc18683380"/>
      <w:r>
        <w:rPr>
          <w:rFonts w:hint="eastAsia"/>
          <w:sz w:val="24"/>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bookmarkEnd w:id="1113"/>
    </w:p>
    <w:p>
      <w:pPr>
        <w:ind w:firstLine="480"/>
        <w:rPr>
          <w:sz w:val="24"/>
        </w:rPr>
      </w:pPr>
      <w:bookmarkStart w:id="1114" w:name="_Toc18683381"/>
      <w:r>
        <w:rPr>
          <w:rFonts w:hint="eastAsia"/>
          <w:sz w:val="24"/>
        </w:rPr>
        <w:t>7、 承包施工企业应当建立健全劳动安全生产教育培训制度，加强对职工岗位教育培训，提高工人安全防范意识，特种工人必须持证上岗。</w:t>
      </w:r>
      <w:bookmarkEnd w:id="1114"/>
    </w:p>
    <w:p>
      <w:pPr>
        <w:ind w:firstLine="480"/>
        <w:rPr>
          <w:sz w:val="24"/>
        </w:rPr>
      </w:pPr>
      <w:bookmarkStart w:id="1115" w:name="_Toc18683382"/>
      <w:r>
        <w:rPr>
          <w:rFonts w:hint="eastAsia"/>
          <w:sz w:val="24"/>
        </w:rPr>
        <w:t>8、 施工中发生事故时，施工企业应当采取紧急措施，减少人员伤亡和事故损失，并按照国家有关规定及时向有关部门报告。</w:t>
      </w:r>
      <w:bookmarkEnd w:id="1115"/>
    </w:p>
    <w:p>
      <w:pPr>
        <w:ind w:firstLine="480"/>
        <w:rPr>
          <w:sz w:val="24"/>
        </w:rPr>
      </w:pPr>
      <w:bookmarkStart w:id="1116" w:name="_Toc18683383"/>
      <w:r>
        <w:rPr>
          <w:rFonts w:hint="eastAsia"/>
          <w:sz w:val="24"/>
        </w:rPr>
        <w:t>9、 施工企业应根据中华人民共和国建筑法第五章四十八条的规定，对施工现场进行意外伤害、伤亡保险。</w:t>
      </w:r>
      <w:bookmarkEnd w:id="1116"/>
    </w:p>
    <w:p>
      <w:pPr>
        <w:ind w:firstLine="480"/>
        <w:rPr>
          <w:sz w:val="24"/>
        </w:rPr>
      </w:pPr>
      <w:bookmarkStart w:id="1117" w:name="_Toc18683384"/>
      <w:r>
        <w:rPr>
          <w:rFonts w:hint="eastAsia"/>
          <w:sz w:val="24"/>
        </w:rPr>
        <w:t>二、 发包方责任</w:t>
      </w:r>
      <w:bookmarkEnd w:id="1117"/>
    </w:p>
    <w:p>
      <w:pPr>
        <w:ind w:firstLine="480"/>
        <w:rPr>
          <w:sz w:val="24"/>
        </w:rPr>
      </w:pPr>
      <w:bookmarkStart w:id="1118" w:name="_Toc18683385"/>
      <w:r>
        <w:rPr>
          <w:rFonts w:hint="eastAsia"/>
          <w:sz w:val="24"/>
        </w:rPr>
        <w:t>1、 发包单位应根据国家有关法令，法规选择符合安全资质的施工企业承包施工。</w:t>
      </w:r>
      <w:bookmarkEnd w:id="1118"/>
    </w:p>
    <w:p>
      <w:pPr>
        <w:ind w:firstLine="480"/>
        <w:rPr>
          <w:sz w:val="24"/>
        </w:rPr>
      </w:pPr>
      <w:bookmarkStart w:id="1119" w:name="_Toc18683386"/>
      <w:r>
        <w:rPr>
          <w:rFonts w:hint="eastAsia"/>
          <w:sz w:val="24"/>
        </w:rPr>
        <w:t>2、 根据招标投标的有关规定，发包单位应履行合同约定的义务，不得任意压级、压价、拖欠工程款等，为确保安全措施经费的足额到位创造条件。</w:t>
      </w:r>
      <w:bookmarkEnd w:id="1119"/>
    </w:p>
    <w:p>
      <w:pPr>
        <w:ind w:firstLine="480"/>
        <w:rPr>
          <w:sz w:val="24"/>
        </w:rPr>
      </w:pPr>
      <w:bookmarkStart w:id="1120" w:name="_Toc18683387"/>
      <w:r>
        <w:rPr>
          <w:rFonts w:hint="eastAsia"/>
          <w:sz w:val="24"/>
        </w:rPr>
        <w:t>3、 工程开工前，发包单位应当向施工分包单位提供与施工现场相关的地下管线等各类隐蔽资料，积极配合施工企业做好安全准备工作。</w:t>
      </w:r>
      <w:bookmarkEnd w:id="1120"/>
    </w:p>
    <w:p>
      <w:pPr>
        <w:ind w:firstLine="480"/>
        <w:rPr>
          <w:sz w:val="24"/>
        </w:rPr>
      </w:pPr>
      <w:bookmarkStart w:id="1121" w:name="_Toc18683388"/>
      <w:r>
        <w:rPr>
          <w:rFonts w:hint="eastAsia"/>
          <w:sz w:val="24"/>
        </w:rPr>
        <w:t>4、 发包单位工程负责人应随时督促施工分包单位加强安全管理，按操作规范与规程作业，对施工现场明显存在的安全隐患应及时通知施工单位处理整改。</w:t>
      </w:r>
      <w:bookmarkEnd w:id="1121"/>
    </w:p>
    <w:p>
      <w:pPr>
        <w:ind w:firstLine="480"/>
        <w:rPr>
          <w:sz w:val="24"/>
        </w:rPr>
      </w:pPr>
      <w:bookmarkStart w:id="1122" w:name="_Toc18683389"/>
      <w:r>
        <w:rPr>
          <w:rFonts w:hint="eastAsia"/>
          <w:sz w:val="24"/>
        </w:rPr>
        <w:t>三、 建设工程承包方安全生产目标</w:t>
      </w:r>
      <w:bookmarkEnd w:id="1122"/>
    </w:p>
    <w:p>
      <w:pPr>
        <w:ind w:firstLine="480"/>
        <w:rPr>
          <w:sz w:val="24"/>
        </w:rPr>
      </w:pPr>
      <w:bookmarkStart w:id="1123" w:name="_Toc18683390"/>
      <w:r>
        <w:rPr>
          <w:rFonts w:hint="eastAsia"/>
          <w:sz w:val="24"/>
        </w:rPr>
        <w:t>（一） 安全管理目标承诺</w:t>
      </w:r>
      <w:bookmarkEnd w:id="1123"/>
    </w:p>
    <w:p>
      <w:pPr>
        <w:ind w:firstLine="480"/>
        <w:rPr>
          <w:sz w:val="24"/>
        </w:rPr>
      </w:pPr>
      <w:bookmarkStart w:id="1124" w:name="_Toc18683391"/>
      <w:r>
        <w:rPr>
          <w:rFonts w:hint="eastAsia"/>
          <w:sz w:val="24"/>
        </w:rPr>
        <w:t>1、 事故管理</w:t>
      </w:r>
      <w:bookmarkEnd w:id="1124"/>
    </w:p>
    <w:p>
      <w:pPr>
        <w:ind w:firstLine="480"/>
        <w:rPr>
          <w:sz w:val="24"/>
        </w:rPr>
      </w:pPr>
      <w:bookmarkStart w:id="1125" w:name="_Toc18683392"/>
      <w:r>
        <w:rPr>
          <w:rFonts w:hint="eastAsia"/>
          <w:sz w:val="24"/>
        </w:rPr>
        <w:t>本工程杜绝四级及四级以上的伤亡事故的发生。 重伤事故率控制0% ，轻伤事故率控制1%。</w:t>
      </w:r>
      <w:bookmarkEnd w:id="1125"/>
    </w:p>
    <w:p>
      <w:pPr>
        <w:ind w:firstLine="480"/>
        <w:rPr>
          <w:sz w:val="24"/>
        </w:rPr>
      </w:pPr>
      <w:bookmarkStart w:id="1126" w:name="_Toc18683393"/>
      <w:r>
        <w:rPr>
          <w:rFonts w:hint="eastAsia"/>
          <w:sz w:val="24"/>
        </w:rPr>
        <w:t>2、 安全管理</w:t>
      </w:r>
      <w:bookmarkEnd w:id="1126"/>
    </w:p>
    <w:p>
      <w:pPr>
        <w:ind w:firstLine="480"/>
        <w:rPr>
          <w:sz w:val="24"/>
        </w:rPr>
      </w:pPr>
      <w:bookmarkStart w:id="1127" w:name="_Toc18683394"/>
      <w:r>
        <w:rPr>
          <w:rFonts w:hint="eastAsia"/>
          <w:sz w:val="24"/>
        </w:rPr>
        <w:t>（1）按照施工组织设计中采取的安全措施的项目执行率为100%，经费保证率100 %。</w:t>
      </w:r>
      <w:bookmarkEnd w:id="1127"/>
    </w:p>
    <w:p>
      <w:pPr>
        <w:ind w:firstLine="480"/>
        <w:rPr>
          <w:sz w:val="24"/>
        </w:rPr>
      </w:pPr>
      <w:bookmarkStart w:id="1128" w:name="_Toc18683395"/>
      <w:r>
        <w:rPr>
          <w:rFonts w:hint="eastAsia"/>
          <w:sz w:val="24"/>
        </w:rPr>
        <w:t>（2）施工现场每月组织3次由公司分管经理或项目经理组织的安全大检查。</w:t>
      </w:r>
      <w:bookmarkEnd w:id="1128"/>
    </w:p>
    <w:p>
      <w:pPr>
        <w:ind w:firstLine="480"/>
        <w:rPr>
          <w:sz w:val="24"/>
        </w:rPr>
      </w:pPr>
      <w:bookmarkStart w:id="1129" w:name="_Toc18683396"/>
      <w:r>
        <w:rPr>
          <w:rFonts w:hint="eastAsia"/>
          <w:sz w:val="24"/>
        </w:rPr>
        <w:t>（3）施工现场各级职能人员岗位责任制，目标责任书执行率100%。</w:t>
      </w:r>
      <w:bookmarkEnd w:id="1129"/>
    </w:p>
    <w:p>
      <w:pPr>
        <w:ind w:firstLine="480"/>
        <w:rPr>
          <w:sz w:val="24"/>
        </w:rPr>
      </w:pPr>
      <w:bookmarkStart w:id="1130" w:name="_Toc18683397"/>
      <w:r>
        <w:rPr>
          <w:rFonts w:hint="eastAsia"/>
          <w:sz w:val="24"/>
        </w:rPr>
        <w:t>（4）施工现场设专职安全员1人。</w:t>
      </w:r>
      <w:bookmarkEnd w:id="1130"/>
    </w:p>
    <w:p>
      <w:pPr>
        <w:ind w:firstLine="480"/>
        <w:rPr>
          <w:sz w:val="24"/>
        </w:rPr>
      </w:pPr>
      <w:bookmarkStart w:id="1131" w:name="_Toc18683398"/>
      <w:r>
        <w:rPr>
          <w:rFonts w:hint="eastAsia"/>
          <w:sz w:val="24"/>
        </w:rPr>
        <w:t>（5）施工现场脚手架及高处防护作业工程、施工用电、施工机械及特料运输提升设施验收合格率100%。</w:t>
      </w:r>
      <w:bookmarkEnd w:id="1131"/>
    </w:p>
    <w:p>
      <w:pPr>
        <w:ind w:firstLine="480"/>
        <w:rPr>
          <w:sz w:val="24"/>
        </w:rPr>
      </w:pPr>
      <w:bookmarkStart w:id="1132" w:name="_Toc18683399"/>
      <w:r>
        <w:rPr>
          <w:rFonts w:hint="eastAsia"/>
          <w:sz w:val="24"/>
        </w:rPr>
        <w:t>（6）施工现场各类机械，机电设备完好率100%。</w:t>
      </w:r>
      <w:bookmarkEnd w:id="1132"/>
    </w:p>
    <w:p>
      <w:pPr>
        <w:ind w:firstLine="480"/>
        <w:rPr>
          <w:sz w:val="24"/>
        </w:rPr>
      </w:pPr>
      <w:bookmarkStart w:id="1133" w:name="_Toc18683400"/>
      <w:r>
        <w:rPr>
          <w:rFonts w:hint="eastAsia"/>
          <w:sz w:val="24"/>
        </w:rPr>
        <w:t>3、安全教育</w:t>
      </w:r>
      <w:bookmarkEnd w:id="1133"/>
    </w:p>
    <w:p>
      <w:pPr>
        <w:ind w:firstLine="480"/>
        <w:rPr>
          <w:sz w:val="24"/>
        </w:rPr>
      </w:pPr>
      <w:bookmarkStart w:id="1134" w:name="_Toc18683401"/>
      <w:r>
        <w:rPr>
          <w:rFonts w:hint="eastAsia"/>
          <w:sz w:val="24"/>
        </w:rPr>
        <w:t>工人岗前三级教育率100%，特种工人持证上岗100%；施工管理人员安全培训率100%。</w:t>
      </w:r>
      <w:bookmarkEnd w:id="1134"/>
    </w:p>
    <w:p>
      <w:pPr>
        <w:ind w:firstLine="480"/>
        <w:rPr>
          <w:sz w:val="24"/>
        </w:rPr>
      </w:pPr>
      <w:bookmarkStart w:id="1135" w:name="_Toc18683402"/>
      <w:r>
        <w:rPr>
          <w:rFonts w:hint="eastAsia"/>
          <w:sz w:val="24"/>
        </w:rPr>
        <w:t>四、 本责任书一式四份，甲方三份，乙方一份，均具有同等的法律效力。</w:t>
      </w:r>
      <w:bookmarkEnd w:id="1135"/>
    </w:p>
    <w:p>
      <w:pPr>
        <w:ind w:firstLine="480"/>
        <w:rPr>
          <w:sz w:val="24"/>
        </w:rPr>
      </w:pPr>
      <w:bookmarkStart w:id="1136" w:name="_Toc18683403"/>
      <w:r>
        <w:rPr>
          <w:rFonts w:hint="eastAsia"/>
          <w:sz w:val="24"/>
        </w:rPr>
        <w:t>以下空白。</w:t>
      </w:r>
      <w:bookmarkEnd w:id="1136"/>
    </w:p>
    <w:p>
      <w:pPr>
        <w:ind w:firstLine="480"/>
        <w:rPr>
          <w:sz w:val="24"/>
        </w:rPr>
      </w:pPr>
    </w:p>
    <w:p>
      <w:pPr>
        <w:ind w:firstLine="480"/>
        <w:rPr>
          <w:sz w:val="24"/>
        </w:rPr>
      </w:pPr>
    </w:p>
    <w:p>
      <w:pPr>
        <w:ind w:firstLine="480"/>
        <w:rPr>
          <w:sz w:val="24"/>
        </w:rPr>
      </w:pPr>
      <w:bookmarkStart w:id="1137" w:name="_Toc18683404"/>
      <w:r>
        <w:rPr>
          <w:rFonts w:hint="eastAsia"/>
          <w:sz w:val="24"/>
        </w:rPr>
        <w:t>甲方法定代表人：                          乙方法定代表人</w:t>
      </w:r>
      <w:bookmarkEnd w:id="1137"/>
    </w:p>
    <w:p>
      <w:pPr>
        <w:ind w:firstLine="480"/>
        <w:rPr>
          <w:sz w:val="24"/>
        </w:rPr>
      </w:pPr>
    </w:p>
    <w:p>
      <w:pPr>
        <w:ind w:firstLine="480"/>
        <w:rPr>
          <w:sz w:val="24"/>
        </w:rPr>
      </w:pPr>
      <w:bookmarkStart w:id="1138" w:name="_Toc18683405"/>
      <w:r>
        <w:rPr>
          <w:rFonts w:hint="eastAsia"/>
          <w:sz w:val="24"/>
        </w:rPr>
        <w:t>现场代表：                                现场负责人：</w:t>
      </w:r>
      <w:bookmarkEnd w:id="1138"/>
    </w:p>
    <w:p>
      <w:pPr>
        <w:ind w:firstLine="480"/>
        <w:rPr>
          <w:sz w:val="24"/>
        </w:rPr>
      </w:pPr>
    </w:p>
    <w:p>
      <w:pPr>
        <w:ind w:firstLine="480"/>
        <w:rPr>
          <w:sz w:val="24"/>
        </w:rPr>
      </w:pPr>
      <w:r>
        <w:rPr>
          <w:rFonts w:hint="eastAsia"/>
          <w:sz w:val="24"/>
        </w:rPr>
        <w:t>日期：                                    日期：</w:t>
      </w:r>
    </w:p>
    <w:p>
      <w:pPr>
        <w:ind w:firstLine="480"/>
        <w:rPr>
          <w:sz w:val="24"/>
        </w:rPr>
      </w:pPr>
    </w:p>
    <w:p>
      <w:pPr>
        <w:ind w:firstLine="480"/>
        <w:rPr>
          <w:sz w:val="24"/>
        </w:rPr>
      </w:pPr>
    </w:p>
    <w:p>
      <w:pPr>
        <w:ind w:firstLine="480"/>
        <w:rPr>
          <w:sz w:val="24"/>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kern w:val="0"/>
          <w:sz w:val="24"/>
          <w:lang w:bidi="en-US"/>
        </w:rPr>
      </w:pPr>
    </w:p>
    <w:p>
      <w:pPr>
        <w:spacing w:line="360" w:lineRule="exact"/>
        <w:ind w:firstLine="480"/>
        <w:rPr>
          <w:rFonts w:ascii="宋体" w:hAnsi="宋体"/>
          <w:bCs/>
          <w:sz w:val="24"/>
        </w:rPr>
        <w:sectPr>
          <w:footerReference r:id="rId12" w:type="first"/>
          <w:footerReference r:id="rId11" w:type="default"/>
          <w:pgSz w:w="11906" w:h="16838"/>
          <w:pgMar w:top="1440" w:right="1800" w:bottom="1440" w:left="1800" w:header="855" w:footer="851" w:gutter="0"/>
          <w:cols w:space="425" w:num="1"/>
          <w:titlePg/>
          <w:docGrid w:type="lines" w:linePitch="312" w:charSpace="0"/>
        </w:sectPr>
      </w:pPr>
    </w:p>
    <w:p>
      <w:pPr>
        <w:spacing w:line="360" w:lineRule="exact"/>
        <w:ind w:firstLine="480"/>
        <w:rPr>
          <w:rFonts w:ascii="宋体" w:hAnsi="宋体"/>
          <w:bCs/>
          <w:sz w:val="24"/>
        </w:rPr>
      </w:pPr>
      <w:r>
        <w:rPr>
          <w:rFonts w:hint="eastAsia" w:ascii="宋体" w:hAnsi="宋体"/>
          <w:bCs/>
          <w:sz w:val="24"/>
        </w:rPr>
        <w:t>附件11：</w:t>
      </w:r>
    </w:p>
    <w:p>
      <w:pPr>
        <w:spacing w:line="360" w:lineRule="exact"/>
        <w:ind w:firstLine="480"/>
        <w:jc w:val="center"/>
        <w:rPr>
          <w:rFonts w:ascii="宋体" w:hAnsi="宋体"/>
          <w:bCs/>
          <w:sz w:val="24"/>
        </w:rPr>
      </w:pPr>
      <w:r>
        <w:rPr>
          <w:rFonts w:hint="eastAsia" w:ascii="宋体" w:hAnsi="宋体"/>
          <w:bCs/>
          <w:sz w:val="24"/>
        </w:rPr>
        <w:t>工程建设项目廉政责任书</w:t>
      </w:r>
    </w:p>
    <w:p>
      <w:pPr>
        <w:ind w:firstLine="480"/>
        <w:rPr>
          <w:sz w:val="24"/>
        </w:rPr>
      </w:pPr>
      <w:bookmarkStart w:id="1139" w:name="_Toc18683406"/>
      <w:r>
        <w:rPr>
          <w:rFonts w:hint="eastAsia"/>
          <w:sz w:val="24"/>
        </w:rPr>
        <w:t>工程项目名称：</w:t>
      </w:r>
      <w:bookmarkEnd w:id="1139"/>
    </w:p>
    <w:p>
      <w:pPr>
        <w:ind w:firstLine="480"/>
        <w:rPr>
          <w:sz w:val="24"/>
        </w:rPr>
      </w:pPr>
      <w:bookmarkStart w:id="1140" w:name="_Toc18683407"/>
      <w:r>
        <w:rPr>
          <w:rFonts w:hint="eastAsia"/>
          <w:sz w:val="24"/>
        </w:rPr>
        <w:t>工程项目地址：北京清华长庚医院</w:t>
      </w:r>
      <w:bookmarkEnd w:id="1140"/>
    </w:p>
    <w:p>
      <w:pPr>
        <w:ind w:firstLine="480"/>
        <w:rPr>
          <w:sz w:val="24"/>
        </w:rPr>
      </w:pPr>
      <w:bookmarkStart w:id="1141" w:name="_Toc18683408"/>
      <w:r>
        <w:rPr>
          <w:rFonts w:hint="eastAsia"/>
          <w:sz w:val="24"/>
        </w:rPr>
        <w:t>建设单位（甲方）：北京清华长庚医院</w:t>
      </w:r>
      <w:bookmarkEnd w:id="1141"/>
    </w:p>
    <w:p>
      <w:pPr>
        <w:ind w:firstLine="480"/>
        <w:rPr>
          <w:sz w:val="24"/>
        </w:rPr>
      </w:pPr>
      <w:bookmarkStart w:id="1142" w:name="_Toc18683409"/>
      <w:r>
        <w:rPr>
          <w:rFonts w:hint="eastAsia"/>
          <w:sz w:val="24"/>
        </w:rPr>
        <w:t>施工单位（乙方）：</w:t>
      </w:r>
      <w:bookmarkEnd w:id="1142"/>
    </w:p>
    <w:p>
      <w:pPr>
        <w:ind w:firstLine="480"/>
        <w:rPr>
          <w:sz w:val="24"/>
        </w:rPr>
      </w:pPr>
      <w:bookmarkStart w:id="1143" w:name="_Toc18683410"/>
      <w:r>
        <w:rPr>
          <w:rFonts w:hint="eastAsia"/>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bookmarkEnd w:id="1143"/>
    </w:p>
    <w:p>
      <w:pPr>
        <w:ind w:firstLine="480"/>
        <w:rPr>
          <w:sz w:val="24"/>
        </w:rPr>
      </w:pPr>
      <w:bookmarkStart w:id="1144" w:name="_Toc18683411"/>
      <w:r>
        <w:rPr>
          <w:rFonts w:hint="eastAsia"/>
          <w:sz w:val="24"/>
        </w:rPr>
        <w:t>第一条　甲乙双方的责任</w:t>
      </w:r>
      <w:bookmarkEnd w:id="1144"/>
    </w:p>
    <w:p>
      <w:pPr>
        <w:ind w:firstLine="480"/>
        <w:rPr>
          <w:sz w:val="24"/>
        </w:rPr>
      </w:pPr>
      <w:bookmarkStart w:id="1145" w:name="_Toc18683412"/>
      <w:r>
        <w:rPr>
          <w:rFonts w:hint="eastAsia"/>
          <w:sz w:val="24"/>
        </w:rPr>
        <w:t>（一）应严格遵守国家关于市场准入、项目招标投标、工程建设、施工安装和市场活动等有关法律、法规，相关政策，以及廉政建设的各项规定。</w:t>
      </w:r>
      <w:bookmarkEnd w:id="1145"/>
    </w:p>
    <w:p>
      <w:pPr>
        <w:ind w:firstLine="480"/>
        <w:rPr>
          <w:sz w:val="24"/>
        </w:rPr>
      </w:pPr>
      <w:bookmarkStart w:id="1146" w:name="_Toc18683413"/>
      <w:r>
        <w:rPr>
          <w:rFonts w:hint="eastAsia"/>
          <w:sz w:val="24"/>
        </w:rPr>
        <w:t>（二）严格执行建设工程项目承发包合同文件，自觉按合同办事。</w:t>
      </w:r>
      <w:bookmarkEnd w:id="1146"/>
    </w:p>
    <w:p>
      <w:pPr>
        <w:ind w:firstLine="480"/>
        <w:rPr>
          <w:sz w:val="24"/>
        </w:rPr>
      </w:pPr>
      <w:bookmarkStart w:id="1147" w:name="_Toc18683414"/>
      <w:r>
        <w:rPr>
          <w:rFonts w:hint="eastAsia"/>
          <w:sz w:val="24"/>
        </w:rPr>
        <w:t>（三）业务活动必须坚持公开、公平、公正、诚信、透明的原则（除法律法规另有规定者外），不得为获取不正当的利益，损害国家、集体和对方利益，不得违反工程建设管理、施工安装的规章制度。</w:t>
      </w:r>
      <w:bookmarkEnd w:id="1147"/>
    </w:p>
    <w:p>
      <w:pPr>
        <w:ind w:firstLine="480"/>
        <w:rPr>
          <w:sz w:val="24"/>
        </w:rPr>
      </w:pPr>
      <w:bookmarkStart w:id="1148" w:name="_Toc18683415"/>
      <w:r>
        <w:rPr>
          <w:rFonts w:hint="eastAsia"/>
          <w:sz w:val="24"/>
        </w:rPr>
        <w:t>（四）发现对方在业务活动中有违规、违纪、违法行为的，应及时提醒对方，情节严重的，应向其上级主管部门或纪检监察、司法等有关机关举报。</w:t>
      </w:r>
      <w:bookmarkEnd w:id="1148"/>
    </w:p>
    <w:p>
      <w:pPr>
        <w:ind w:firstLine="480"/>
        <w:rPr>
          <w:sz w:val="24"/>
        </w:rPr>
      </w:pPr>
      <w:bookmarkStart w:id="1149" w:name="_Toc18683416"/>
      <w:r>
        <w:rPr>
          <w:rFonts w:hint="eastAsia"/>
          <w:sz w:val="24"/>
        </w:rPr>
        <w:t>第二条　甲方的责任</w:t>
      </w:r>
      <w:bookmarkEnd w:id="1149"/>
    </w:p>
    <w:p>
      <w:pPr>
        <w:ind w:firstLine="480"/>
        <w:rPr>
          <w:sz w:val="24"/>
        </w:rPr>
      </w:pPr>
      <w:bookmarkStart w:id="1150" w:name="_Toc18683417"/>
      <w:r>
        <w:rPr>
          <w:rFonts w:hint="eastAsia"/>
          <w:sz w:val="24"/>
        </w:rPr>
        <w:t>甲方的领导和从事该建设工程项目的工作人员，在工程建设的事前、事中、事后应遵守以下规定：</w:t>
      </w:r>
      <w:bookmarkEnd w:id="1150"/>
    </w:p>
    <w:p>
      <w:pPr>
        <w:ind w:firstLine="480"/>
        <w:rPr>
          <w:sz w:val="24"/>
        </w:rPr>
      </w:pPr>
      <w:bookmarkStart w:id="1151" w:name="_Toc18683418"/>
      <w:r>
        <w:rPr>
          <w:rFonts w:hint="eastAsia"/>
          <w:sz w:val="24"/>
        </w:rPr>
        <w:t>（一）不准向乙方和相关单位索要或接受回扣、礼金、有价证券、贵重物品和好处费、感谢费等。</w:t>
      </w:r>
      <w:bookmarkEnd w:id="1151"/>
    </w:p>
    <w:p>
      <w:pPr>
        <w:ind w:firstLine="480"/>
        <w:rPr>
          <w:sz w:val="24"/>
        </w:rPr>
      </w:pPr>
      <w:bookmarkStart w:id="1152" w:name="_Toc18683419"/>
      <w:r>
        <w:rPr>
          <w:rFonts w:hint="eastAsia"/>
          <w:sz w:val="24"/>
        </w:rPr>
        <w:t>（二）不准在乙方和相关单位报销任何应由甲方或个人支付的费用。</w:t>
      </w:r>
      <w:bookmarkEnd w:id="1152"/>
    </w:p>
    <w:p>
      <w:pPr>
        <w:ind w:firstLine="480"/>
        <w:rPr>
          <w:sz w:val="24"/>
        </w:rPr>
      </w:pPr>
      <w:bookmarkStart w:id="1153" w:name="_Toc18683420"/>
      <w:r>
        <w:rPr>
          <w:rFonts w:hint="eastAsia"/>
          <w:sz w:val="24"/>
        </w:rPr>
        <w:t>（三）不准要求、暗示或接受乙方和相关单位为个人装修住房、婚丧嫁娶、配偶子女的工作安排以及出国（境）、旅游等提供方便。</w:t>
      </w:r>
      <w:bookmarkEnd w:id="1153"/>
    </w:p>
    <w:p>
      <w:pPr>
        <w:ind w:firstLine="480"/>
        <w:rPr>
          <w:sz w:val="24"/>
        </w:rPr>
      </w:pPr>
      <w:bookmarkStart w:id="1154" w:name="_Toc18683421"/>
      <w:r>
        <w:rPr>
          <w:rFonts w:hint="eastAsia"/>
          <w:sz w:val="24"/>
        </w:rPr>
        <w:t>（四）不准参加有可能影响公正执行公务的乙方和相关单位的宴请和健身、娱乐等活动。</w:t>
      </w:r>
      <w:bookmarkEnd w:id="1154"/>
    </w:p>
    <w:p>
      <w:pPr>
        <w:ind w:firstLine="480"/>
        <w:rPr>
          <w:sz w:val="24"/>
        </w:rPr>
      </w:pPr>
      <w:bookmarkStart w:id="1155" w:name="_Toc18683422"/>
      <w:r>
        <w:rPr>
          <w:rFonts w:hint="eastAsia"/>
          <w:sz w:val="24"/>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bookmarkEnd w:id="1155"/>
    </w:p>
    <w:p>
      <w:pPr>
        <w:ind w:firstLine="480"/>
        <w:rPr>
          <w:sz w:val="24"/>
        </w:rPr>
      </w:pPr>
      <w:bookmarkStart w:id="1156" w:name="_Toc18683423"/>
      <w:r>
        <w:rPr>
          <w:rFonts w:hint="eastAsia"/>
          <w:sz w:val="24"/>
        </w:rPr>
        <w:t>第三条　乙方的责任</w:t>
      </w:r>
      <w:bookmarkEnd w:id="1156"/>
    </w:p>
    <w:p>
      <w:pPr>
        <w:ind w:firstLine="480"/>
        <w:rPr>
          <w:sz w:val="24"/>
        </w:rPr>
      </w:pPr>
      <w:bookmarkStart w:id="1157" w:name="_Toc18683424"/>
      <w:r>
        <w:rPr>
          <w:rFonts w:hint="eastAsia"/>
          <w:sz w:val="24"/>
        </w:rPr>
        <w:t>应与甲方保持正常的业务交往，按照有关法律法规和程序开展业务工作，严格执行工程建设的有关方针、政策，尤其是有关建筑施工安装的强制性标准和规范，并遵守以下规定：</w:t>
      </w:r>
      <w:bookmarkEnd w:id="1157"/>
    </w:p>
    <w:p>
      <w:pPr>
        <w:ind w:firstLine="480"/>
        <w:rPr>
          <w:sz w:val="24"/>
        </w:rPr>
      </w:pPr>
      <w:bookmarkStart w:id="1158" w:name="_Toc18683425"/>
      <w:r>
        <w:rPr>
          <w:rFonts w:hint="eastAsia"/>
          <w:sz w:val="24"/>
        </w:rPr>
        <w:t>（一）不准以任何理由向甲方、相关单位及其工作人员索要、接受或赠送礼金、有价证券、贵重物品和回扣、好处费、感谢费等。</w:t>
      </w:r>
      <w:bookmarkEnd w:id="1158"/>
    </w:p>
    <w:p>
      <w:pPr>
        <w:ind w:firstLine="480"/>
        <w:rPr>
          <w:sz w:val="24"/>
        </w:rPr>
      </w:pPr>
      <w:bookmarkStart w:id="1159" w:name="_Toc18683426"/>
      <w:r>
        <w:rPr>
          <w:rFonts w:hint="eastAsia"/>
          <w:sz w:val="24"/>
        </w:rPr>
        <w:t>（二）不准以任何理由为甲方和相关单位报销应由对方或个人支付的费用。</w:t>
      </w:r>
      <w:bookmarkEnd w:id="1159"/>
    </w:p>
    <w:p>
      <w:pPr>
        <w:ind w:firstLine="480"/>
        <w:rPr>
          <w:sz w:val="24"/>
        </w:rPr>
      </w:pPr>
      <w:bookmarkStart w:id="1160" w:name="_Toc18683427"/>
      <w:r>
        <w:rPr>
          <w:rFonts w:hint="eastAsia"/>
          <w:sz w:val="24"/>
        </w:rPr>
        <w:t>（三）不准接受或暗示为甲方、相关单位或个人装修住房、婚丧嫁娶、配偶子女的工作安排以及出国（境）、旅游等提供方便。</w:t>
      </w:r>
      <w:bookmarkEnd w:id="1160"/>
    </w:p>
    <w:p>
      <w:pPr>
        <w:ind w:firstLine="480"/>
        <w:rPr>
          <w:sz w:val="24"/>
        </w:rPr>
      </w:pPr>
      <w:bookmarkStart w:id="1161" w:name="_Toc18683428"/>
      <w:r>
        <w:rPr>
          <w:rFonts w:hint="eastAsia"/>
          <w:sz w:val="24"/>
        </w:rPr>
        <w:t>（四）不准以任何理由为甲方、相关单位或个人组织有可能影响公正执行公务的宴请、健身、娱乐等活动。</w:t>
      </w:r>
      <w:bookmarkEnd w:id="1161"/>
    </w:p>
    <w:p>
      <w:pPr>
        <w:ind w:firstLine="480"/>
        <w:rPr>
          <w:sz w:val="24"/>
        </w:rPr>
      </w:pPr>
      <w:bookmarkStart w:id="1162" w:name="_Toc18683429"/>
      <w:r>
        <w:rPr>
          <w:rFonts w:hint="eastAsia"/>
          <w:sz w:val="24"/>
        </w:rPr>
        <w:t>第四条　违约责任</w:t>
      </w:r>
      <w:bookmarkEnd w:id="1162"/>
    </w:p>
    <w:p>
      <w:pPr>
        <w:ind w:firstLine="480"/>
        <w:rPr>
          <w:sz w:val="24"/>
        </w:rPr>
      </w:pPr>
      <w:bookmarkStart w:id="1163" w:name="_Toc18683430"/>
      <w:r>
        <w:rPr>
          <w:rFonts w:hint="eastAsia"/>
          <w:sz w:val="24"/>
        </w:rPr>
        <w:t>（一）甲方工作人员有违反本责任书第一、二条责任行为的，按照管理权限，依据有关法律法规和规定给予党纪、政纪处分或组织处理；涉嫌犯罪，移交司法机关追究刑事责任；给乙方单位造成经济损失的，应予以赔偿。</w:t>
      </w:r>
      <w:bookmarkEnd w:id="1163"/>
    </w:p>
    <w:p>
      <w:pPr>
        <w:ind w:firstLine="480"/>
        <w:rPr>
          <w:sz w:val="24"/>
        </w:rPr>
      </w:pPr>
      <w:bookmarkStart w:id="1164" w:name="_Toc18683431"/>
      <w:r>
        <w:rPr>
          <w:rFonts w:hint="eastAsia"/>
          <w:sz w:val="24"/>
        </w:rPr>
        <w:t>（二）乙方工作人员有违反本责任书第一、三条责任行为的，按照管理权限，依据有关法律法规和规定给予党纪、政纪处分或组织处理；涉嬚犯罪的，移交司法机关追究刑事责任；给甲方单位造成经济损失的，应予以赔偿。</w:t>
      </w:r>
      <w:bookmarkEnd w:id="1164"/>
    </w:p>
    <w:p>
      <w:pPr>
        <w:ind w:firstLine="480"/>
        <w:rPr>
          <w:sz w:val="24"/>
        </w:rPr>
      </w:pPr>
      <w:bookmarkStart w:id="1165" w:name="_Toc18683432"/>
      <w:r>
        <w:rPr>
          <w:rFonts w:hint="eastAsia"/>
          <w:sz w:val="24"/>
        </w:rPr>
        <w:t>第五条　本责任书作为工程施工合同的附件，与工程施工合同具有同等法律效力。经双方签署后立即生效。</w:t>
      </w:r>
      <w:bookmarkEnd w:id="1165"/>
    </w:p>
    <w:p>
      <w:pPr>
        <w:ind w:firstLine="480"/>
        <w:rPr>
          <w:sz w:val="24"/>
        </w:rPr>
      </w:pPr>
      <w:bookmarkStart w:id="1166" w:name="_Toc18683433"/>
      <w:r>
        <w:rPr>
          <w:rFonts w:hint="eastAsia"/>
          <w:sz w:val="24"/>
        </w:rPr>
        <w:t>第六条　本责任书的有效期为双方签署之日起至该工程项目竣工验收合格时止。</w:t>
      </w:r>
      <w:bookmarkEnd w:id="1166"/>
    </w:p>
    <w:p>
      <w:pPr>
        <w:ind w:firstLine="480"/>
        <w:rPr>
          <w:sz w:val="24"/>
        </w:rPr>
      </w:pPr>
      <w:bookmarkStart w:id="1167" w:name="_Toc18683434"/>
      <w:r>
        <w:rPr>
          <w:rFonts w:hint="eastAsia"/>
          <w:sz w:val="24"/>
        </w:rPr>
        <w:t>第七条</w:t>
      </w:r>
      <w:r>
        <w:rPr>
          <w:rFonts w:hint="eastAsia"/>
          <w:sz w:val="24"/>
        </w:rPr>
        <w:tab/>
      </w:r>
      <w:r>
        <w:rPr>
          <w:rFonts w:hint="eastAsia"/>
          <w:sz w:val="24"/>
        </w:rPr>
        <w:t>本责任书一式四份，由甲乙双方各执一份，送交甲乙双方的监督单位各一份。</w:t>
      </w:r>
      <w:bookmarkEnd w:id="1167"/>
    </w:p>
    <w:p>
      <w:pPr>
        <w:ind w:firstLine="480"/>
        <w:rPr>
          <w:sz w:val="24"/>
        </w:rPr>
      </w:pPr>
      <w:bookmarkStart w:id="1168" w:name="_Toc18683435"/>
      <w:r>
        <w:rPr>
          <w:rFonts w:hint="eastAsia"/>
          <w:sz w:val="24"/>
        </w:rPr>
        <w:t>以下空白。</w:t>
      </w:r>
      <w:bookmarkEnd w:id="1168"/>
    </w:p>
    <w:p>
      <w:pPr>
        <w:ind w:firstLine="480"/>
        <w:rPr>
          <w:sz w:val="24"/>
        </w:rPr>
      </w:pPr>
    </w:p>
    <w:p>
      <w:pPr>
        <w:ind w:firstLine="480"/>
        <w:rPr>
          <w:sz w:val="24"/>
        </w:rPr>
      </w:pPr>
      <w:bookmarkStart w:id="1169" w:name="_Toc18683436"/>
      <w:r>
        <w:rPr>
          <w:rFonts w:hint="eastAsia"/>
          <w:sz w:val="24"/>
        </w:rPr>
        <w:t>甲方单位：（盖章）　　　　　　　　　　 乙方单位：（盖章）</w:t>
      </w:r>
      <w:bookmarkEnd w:id="1169"/>
    </w:p>
    <w:p>
      <w:pPr>
        <w:ind w:firstLine="480"/>
        <w:rPr>
          <w:sz w:val="24"/>
        </w:rPr>
      </w:pPr>
    </w:p>
    <w:p>
      <w:pPr>
        <w:ind w:firstLine="480"/>
        <w:rPr>
          <w:sz w:val="24"/>
        </w:rPr>
      </w:pPr>
      <w:bookmarkStart w:id="1170" w:name="_Toc18683437"/>
      <w:r>
        <w:rPr>
          <w:rFonts w:hint="eastAsia"/>
          <w:sz w:val="24"/>
        </w:rPr>
        <w:t>法定代表人或授权代理人：　　　　　　　 法定代表人或授权代理人：</w:t>
      </w:r>
      <w:bookmarkEnd w:id="1170"/>
    </w:p>
    <w:p>
      <w:pPr>
        <w:ind w:firstLine="480"/>
        <w:rPr>
          <w:sz w:val="24"/>
        </w:rPr>
      </w:pPr>
    </w:p>
    <w:p>
      <w:pPr>
        <w:ind w:firstLine="480"/>
        <w:rPr>
          <w:sz w:val="24"/>
        </w:rPr>
      </w:pPr>
      <w:bookmarkStart w:id="1171" w:name="_Toc18683438"/>
      <w:r>
        <w:rPr>
          <w:rFonts w:hint="eastAsia"/>
          <w:sz w:val="24"/>
        </w:rPr>
        <w:t>地址：北京市昌平区立汤路168号　　　　  地址：</w:t>
      </w:r>
      <w:bookmarkEnd w:id="1171"/>
    </w:p>
    <w:p>
      <w:pPr>
        <w:ind w:firstLine="480"/>
        <w:rPr>
          <w:sz w:val="24"/>
        </w:rPr>
      </w:pPr>
    </w:p>
    <w:p>
      <w:pPr>
        <w:ind w:firstLine="480"/>
        <w:rPr>
          <w:sz w:val="24"/>
        </w:rPr>
      </w:pPr>
      <w:bookmarkStart w:id="1172" w:name="_Toc18683439"/>
      <w:r>
        <w:rPr>
          <w:rFonts w:hint="eastAsia"/>
          <w:sz w:val="24"/>
        </w:rPr>
        <w:t>电话：</w:t>
      </w:r>
      <w:r>
        <w:rPr>
          <w:sz w:val="24"/>
        </w:rPr>
        <w:t>010-56118899</w:t>
      </w:r>
      <w:r>
        <w:rPr>
          <w:rFonts w:hint="eastAsia"/>
          <w:sz w:val="24"/>
        </w:rPr>
        <w:t>　　　　　　　　　　 电话：</w:t>
      </w:r>
      <w:bookmarkEnd w:id="1172"/>
    </w:p>
    <w:p>
      <w:pPr>
        <w:ind w:firstLine="480"/>
        <w:rPr>
          <w:sz w:val="24"/>
        </w:rPr>
      </w:pPr>
    </w:p>
    <w:p>
      <w:pPr>
        <w:ind w:firstLine="480"/>
        <w:rPr>
          <w:sz w:val="24"/>
        </w:rPr>
      </w:pPr>
      <w:bookmarkStart w:id="1173" w:name="_Toc18683440"/>
      <w:r>
        <w:rPr>
          <w:rFonts w:hint="eastAsia"/>
          <w:sz w:val="24"/>
        </w:rPr>
        <w:t>年月日　　　　　　          年月日</w:t>
      </w:r>
      <w:bookmarkEnd w:id="1173"/>
    </w:p>
    <w:p>
      <w:pPr>
        <w:ind w:firstLine="480"/>
        <w:rPr>
          <w:sz w:val="24"/>
        </w:rPr>
      </w:pPr>
    </w:p>
    <w:p>
      <w:pPr>
        <w:ind w:firstLine="480"/>
        <w:rPr>
          <w:sz w:val="24"/>
        </w:rPr>
      </w:pPr>
    </w:p>
    <w:p>
      <w:pPr>
        <w:ind w:firstLine="420"/>
      </w:pPr>
    </w:p>
    <w:p>
      <w:pPr>
        <w:ind w:firstLine="480"/>
        <w:rPr>
          <w:sz w:val="24"/>
        </w:rPr>
      </w:pPr>
    </w:p>
    <w:p>
      <w:pPr>
        <w:ind w:firstLine="480"/>
        <w:rPr>
          <w:sz w:val="24"/>
        </w:rPr>
      </w:pPr>
    </w:p>
    <w:p>
      <w:pPr>
        <w:ind w:firstLine="480"/>
        <w:rPr>
          <w:sz w:val="24"/>
        </w:rPr>
      </w:pPr>
    </w:p>
    <w:p>
      <w:pPr>
        <w:ind w:firstLine="480"/>
        <w:rPr>
          <w:sz w:val="24"/>
        </w:rPr>
      </w:pPr>
    </w:p>
    <w:p>
      <w:pPr>
        <w:ind w:firstLine="480"/>
        <w:rPr>
          <w:sz w:val="24"/>
        </w:rPr>
      </w:pPr>
    </w:p>
    <w:p>
      <w:pPr>
        <w:ind w:firstLine="480"/>
        <w:rPr>
          <w:sz w:val="24"/>
        </w:rPr>
      </w:pPr>
    </w:p>
    <w:p>
      <w:pPr>
        <w:pStyle w:val="38"/>
        <w:wordWrap w:val="0"/>
        <w:spacing w:before="192" w:beforeAutospacing="0"/>
        <w:ind w:firstLine="0" w:firstLineChars="0"/>
        <w:jc w:val="both"/>
        <w:rPr>
          <w:b/>
          <w:bCs/>
          <w:sz w:val="18"/>
          <w:szCs w:val="18"/>
        </w:rPr>
      </w:pPr>
    </w:p>
    <w:p>
      <w:pPr>
        <w:pStyle w:val="3"/>
        <w:keepNext w:val="0"/>
        <w:keepLines w:val="0"/>
        <w:ind w:left="0"/>
        <w:rPr>
          <w:rFonts w:ascii="宋体" w:hAnsi="宋体"/>
        </w:rPr>
        <w:sectPr>
          <w:pgSz w:w="11906" w:h="16838"/>
          <w:pgMar w:top="1440" w:right="1800" w:bottom="1440" w:left="1800" w:header="855" w:footer="851" w:gutter="0"/>
          <w:cols w:space="425" w:num="1"/>
          <w:titlePg/>
          <w:docGrid w:type="lines" w:linePitch="312" w:charSpace="0"/>
        </w:sectPr>
      </w:pPr>
      <w:bookmarkStart w:id="1174" w:name="_Toc138740212"/>
    </w:p>
    <w:p>
      <w:pPr>
        <w:pStyle w:val="3"/>
        <w:keepNext w:val="0"/>
        <w:keepLines w:val="0"/>
        <w:ind w:left="0"/>
        <w:rPr>
          <w:rFonts w:ascii="宋体" w:hAnsi="宋体"/>
        </w:rPr>
      </w:pPr>
      <w:bookmarkStart w:id="1175" w:name="_Toc79682143"/>
      <w:r>
        <w:rPr>
          <w:rFonts w:hint="eastAsia" w:ascii="宋体" w:hAnsi="宋体"/>
        </w:rPr>
        <w:t>投标文件商务标部分格式</w:t>
      </w:r>
      <w:bookmarkEnd w:id="1174"/>
      <w:bookmarkEnd w:id="1175"/>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8"/>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3"/>
        <w:keepNext w:val="0"/>
        <w:keepLines w:val="0"/>
        <w:ind w:left="0"/>
        <w:rPr>
          <w:rFonts w:ascii="宋体" w:hAnsi="宋体"/>
        </w:rPr>
      </w:pPr>
      <w:bookmarkStart w:id="1176" w:name="_Toc79682144"/>
      <w:bookmarkStart w:id="1177" w:name="_Toc138740213"/>
      <w:r>
        <w:rPr>
          <w:rFonts w:hint="eastAsia" w:ascii="宋体" w:hAnsi="宋体"/>
        </w:rPr>
        <w:t>投标文件经济标部分格式</w:t>
      </w:r>
      <w:bookmarkEnd w:id="1176"/>
      <w:bookmarkEnd w:id="1177"/>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Ind w:w="0" w:type="dxa"/>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1</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2</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3</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4</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Layout w:type="fixed"/>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5</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sectPr>
          <w:pgSz w:w="11906" w:h="16838"/>
          <w:pgMar w:top="1440" w:right="1800" w:bottom="1440" w:left="1800" w:header="855" w:footer="851" w:gutter="0"/>
          <w:cols w:space="425" w:num="1"/>
          <w:titlePg/>
          <w:docGrid w:type="lines" w:linePitch="312" w:charSpace="0"/>
        </w:sectPr>
      </w:pPr>
      <w:r>
        <w:rPr>
          <w:rFonts w:hint="eastAsia" w:ascii="宋体" w:hAnsi="宋体"/>
          <w:szCs w:val="21"/>
        </w:rPr>
        <w:t>本工程招标控制价为RMB</w:t>
      </w:r>
      <w:r>
        <w:rPr>
          <w:rFonts w:hint="eastAsia" w:ascii="宋体" w:hAnsi="宋体"/>
          <w:szCs w:val="21"/>
          <w:u w:val="single"/>
        </w:rPr>
        <w:t xml:space="preserve"> </w:t>
      </w:r>
      <w:r>
        <w:rPr>
          <w:rFonts w:hint="eastAsia" w:ascii="微软雅黑" w:hAnsi="微软雅黑" w:eastAsia="微软雅黑" w:cs="微软雅黑"/>
          <w:b w:val="0"/>
          <w:i w:val="0"/>
          <w:caps w:val="0"/>
          <w:color w:val="111111"/>
          <w:spacing w:val="0"/>
          <w:sz w:val="21"/>
          <w:szCs w:val="21"/>
          <w:u w:val="single"/>
          <w:shd w:val="clear" w:fill="FFFFFF"/>
        </w:rPr>
        <w:t>546</w:t>
      </w:r>
      <w:r>
        <w:rPr>
          <w:rFonts w:hint="eastAsia" w:ascii="微软雅黑" w:hAnsi="微软雅黑" w:eastAsia="微软雅黑" w:cs="微软雅黑"/>
          <w:b w:val="0"/>
          <w:i w:val="0"/>
          <w:caps w:val="0"/>
          <w:color w:val="111111"/>
          <w:spacing w:val="0"/>
          <w:sz w:val="21"/>
          <w:szCs w:val="21"/>
          <w:u w:val="single"/>
          <w:shd w:val="clear" w:fill="FFFFFF"/>
          <w:lang w:val="en-US" w:eastAsia="zh-CN"/>
        </w:rPr>
        <w:t>,</w:t>
      </w:r>
      <w:r>
        <w:rPr>
          <w:rFonts w:hint="eastAsia" w:ascii="微软雅黑" w:hAnsi="微软雅黑" w:eastAsia="微软雅黑" w:cs="微软雅黑"/>
          <w:b w:val="0"/>
          <w:i w:val="0"/>
          <w:caps w:val="0"/>
          <w:color w:val="111111"/>
          <w:spacing w:val="0"/>
          <w:sz w:val="21"/>
          <w:szCs w:val="21"/>
          <w:u w:val="single"/>
          <w:shd w:val="clear" w:fill="FFFFFF"/>
        </w:rPr>
        <w:t>318.56</w:t>
      </w:r>
      <w:r>
        <w:rPr>
          <w:rFonts w:hint="eastAsia" w:ascii="宋体" w:hAnsi="宋体"/>
          <w:szCs w:val="21"/>
        </w:rPr>
        <w:t>元。</w:t>
      </w:r>
    </w:p>
    <w:p>
      <w:pPr>
        <w:pStyle w:val="59"/>
        <w:ind w:firstLine="0" w:firstLineChars="0"/>
        <w:jc w:val="both"/>
      </w:pPr>
    </w:p>
    <w:p>
      <w:pPr>
        <w:pStyle w:val="3"/>
        <w:keepNext w:val="0"/>
        <w:keepLines w:val="0"/>
        <w:ind w:left="0"/>
        <w:rPr>
          <w:rFonts w:ascii="宋体" w:hAnsi="宋体"/>
        </w:rPr>
      </w:pPr>
      <w:bookmarkStart w:id="1178" w:name="_Toc138740214"/>
      <w:bookmarkStart w:id="1179" w:name="_Toc79682145"/>
      <w:r>
        <w:rPr>
          <w:rFonts w:hint="eastAsia" w:ascii="宋体" w:hAnsi="宋体"/>
        </w:rPr>
        <w:t>投标文件技术标部分格式</w:t>
      </w:r>
      <w:bookmarkEnd w:id="1178"/>
      <w:bookmarkEnd w:id="1179"/>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w:t>
      </w:r>
      <w:r>
        <w:rPr>
          <w:rFonts w:hint="eastAsia" w:ascii="宋体" w:hAnsi="宋体"/>
          <w:szCs w:val="21"/>
        </w:rPr>
        <w:t>编制</w:t>
      </w:r>
      <w:r>
        <w:rPr>
          <w:rFonts w:ascii="宋体" w:hAnsi="宋体"/>
          <w:szCs w:val="21"/>
        </w:rPr>
        <w:t>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0" w:firstLineChars="0"/>
        <w:jc w:val="center"/>
        <w:rPr>
          <w:b/>
          <w:sz w:val="28"/>
        </w:rPr>
      </w:pPr>
      <w:r>
        <w:rPr>
          <w:rFonts w:hint="eastAsia"/>
          <w:b/>
          <w:sz w:val="28"/>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1.1施工技术方案</w:t>
      </w:r>
    </w:p>
    <w:p>
      <w:pPr>
        <w:pStyle w:val="60"/>
        <w:ind w:firstLine="420"/>
      </w:pPr>
      <w:r>
        <w:rPr>
          <w:rFonts w:hint="eastAsia"/>
        </w:rPr>
        <w:t>1.2质量管理保证体系</w:t>
      </w:r>
    </w:p>
    <w:p>
      <w:pPr>
        <w:pStyle w:val="60"/>
        <w:ind w:firstLine="420"/>
      </w:pPr>
      <w:r>
        <w:t>1.3</w:t>
      </w:r>
      <w:r>
        <w:rPr>
          <w:rFonts w:hint="eastAsia"/>
        </w:rPr>
        <w:t>施工进度计划及保证措施</w:t>
      </w:r>
    </w:p>
    <w:p>
      <w:pPr>
        <w:pStyle w:val="60"/>
        <w:ind w:firstLine="420"/>
      </w:pPr>
      <w:r>
        <w:t>1.4</w:t>
      </w:r>
      <w:r>
        <w:rPr>
          <w:rFonts w:hint="eastAsia"/>
        </w:rPr>
        <w:t>劳动力计划及主要设备材料、构件的用量的计划</w:t>
      </w:r>
    </w:p>
    <w:p>
      <w:pPr>
        <w:pStyle w:val="60"/>
        <w:ind w:firstLine="420"/>
      </w:pPr>
      <w:r>
        <w:t>1.5</w:t>
      </w:r>
      <w:r>
        <w:rPr>
          <w:rFonts w:hint="eastAsia"/>
        </w:rPr>
        <w:t>主材质量保证</w:t>
      </w:r>
    </w:p>
    <w:p>
      <w:pPr>
        <w:pStyle w:val="60"/>
        <w:ind w:firstLine="420"/>
      </w:pPr>
      <w:r>
        <w:rPr>
          <w:rFonts w:hint="eastAsia"/>
        </w:rPr>
        <w:t xml:space="preserve">1.6安全防护措施 </w:t>
      </w:r>
    </w:p>
    <w:p>
      <w:pPr>
        <w:pStyle w:val="60"/>
        <w:ind w:firstLine="420"/>
      </w:pPr>
      <w:r>
        <w:t>1.7</w:t>
      </w:r>
      <w:r>
        <w:rPr>
          <w:rFonts w:hint="eastAsia"/>
        </w:rPr>
        <w:t>文明施工措施</w:t>
      </w:r>
    </w:p>
    <w:p>
      <w:pPr>
        <w:pStyle w:val="60"/>
        <w:ind w:firstLine="420"/>
      </w:pPr>
    </w:p>
    <w:p>
      <w:pPr>
        <w:pStyle w:val="60"/>
        <w:ind w:firstLine="420"/>
      </w:pPr>
      <w:r>
        <w:rPr>
          <w:rFonts w:hint="eastAsia"/>
        </w:rPr>
        <w:t>2.施工组织设计除采用文字表述外应附下列图表，图表及格式要求附后。</w:t>
      </w:r>
    </w:p>
    <w:p>
      <w:pPr>
        <w:pStyle w:val="60"/>
        <w:ind w:firstLine="420"/>
      </w:pPr>
      <w:r>
        <w:t>（</w:t>
      </w:r>
      <w:r>
        <w:rPr>
          <w:rFonts w:hint="eastAsia"/>
        </w:rPr>
        <w:t>1</w:t>
      </w:r>
      <w:r>
        <w:t>）</w:t>
      </w:r>
      <w:r>
        <w:rPr>
          <w:rFonts w:hint="eastAsia"/>
        </w:rPr>
        <w:t>拟投入的主要施工机械设备表</w:t>
      </w:r>
    </w:p>
    <w:p>
      <w:pPr>
        <w:pStyle w:val="60"/>
        <w:ind w:firstLine="420"/>
      </w:pPr>
      <w:r>
        <w:rPr>
          <w:rFonts w:hint="eastAsia"/>
        </w:rPr>
        <w:t>（2）劳动力计划表</w:t>
      </w:r>
    </w:p>
    <w:p>
      <w:pPr>
        <w:pStyle w:val="60"/>
        <w:ind w:firstLine="420"/>
      </w:pPr>
      <w:r>
        <w:rPr>
          <w:rFonts w:hint="eastAsia"/>
        </w:rPr>
        <w:t>（3）计划开、竣工日期和施工进度网络图</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1"/>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1"/>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 施工进度表采用网络图或横道图表示，说明计划开工日期和各分项工程各阶段的完工日期的日期。</w:t>
      </w:r>
    </w:p>
    <w:p>
      <w:pPr>
        <w:pStyle w:val="60"/>
        <w:ind w:firstLine="420"/>
      </w:pPr>
      <w:r>
        <w:rPr>
          <w:rFonts w:hint="eastAsia"/>
        </w:rPr>
        <w:t>3.施工进度计划应与施工组织设计相适应。</w:t>
      </w:r>
    </w:p>
    <w:p>
      <w:pPr>
        <w:pStyle w:val="3"/>
        <w:keepNext w:val="0"/>
        <w:keepLines w:val="0"/>
        <w:ind w:left="0"/>
        <w:rPr>
          <w:rFonts w:ascii="宋体" w:hAnsi="宋体"/>
        </w:rPr>
      </w:pPr>
      <w:r>
        <w:rPr>
          <w:rFonts w:ascii="宋体" w:hAnsi="宋体"/>
        </w:rPr>
        <w:br w:type="page"/>
      </w:r>
      <w:bookmarkStart w:id="1180" w:name="_Toc79682146"/>
      <w:r>
        <w:rPr>
          <w:rFonts w:hint="eastAsia" w:ascii="宋体" w:hAnsi="宋体"/>
        </w:rPr>
        <w:t>评标办法</w:t>
      </w:r>
      <w:bookmarkEnd w:id="1180"/>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ascii="宋体" w:hAnsi="宋体" w:eastAsia="宋体" w:cs="Times New Roman"/>
          <w:b/>
          <w:bCs/>
          <w:kern w:val="2"/>
          <w:sz w:val="21"/>
          <w:szCs w:val="24"/>
          <w:u w:val="single"/>
          <w:lang w:val="en-US" w:eastAsia="zh-CN" w:bidi="ar-SA"/>
        </w:rPr>
        <w:t>新公寓智慧用电管理系统</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5"/>
        </w:numPr>
        <w:ind w:firstLineChars="0"/>
      </w:pPr>
      <w:r>
        <w:rPr>
          <w:rFonts w:hint="eastAsia"/>
        </w:rPr>
        <w:t>公开、公平、公正和诚实信用的原则。</w:t>
      </w:r>
    </w:p>
    <w:p>
      <w:pPr>
        <w:pStyle w:val="60"/>
        <w:numPr>
          <w:ilvl w:val="0"/>
          <w:numId w:val="5"/>
        </w:numPr>
        <w:ind w:firstLineChars="0"/>
      </w:pPr>
      <w:r>
        <w:rPr>
          <w:rFonts w:hint="eastAsia"/>
        </w:rPr>
        <w:t>科学、合理、择优评标原则。</w:t>
      </w:r>
    </w:p>
    <w:p>
      <w:pPr>
        <w:pStyle w:val="60"/>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60"/>
        <w:ind w:firstLine="420"/>
        <w:rPr>
          <w:rFonts w:hint="default" w:eastAsia="宋体"/>
          <w:lang w:val="en-US" w:eastAsia="zh-CN"/>
        </w:rPr>
        <w:sectPr>
          <w:pgSz w:w="11906" w:h="16838"/>
          <w:pgMar w:top="1440" w:right="1800" w:bottom="1440" w:left="1800" w:header="855" w:footer="851" w:gutter="0"/>
          <w:cols w:space="425" w:num="1"/>
          <w:titlePg/>
          <w:docGrid w:type="lines" w:linePitch="312" w:charSpace="0"/>
        </w:sectPr>
      </w:pPr>
      <w:r>
        <w:rPr>
          <w:rFonts w:hint="eastAsia"/>
          <w:lang w:val="en-US" w:eastAsia="zh-CN"/>
        </w:rPr>
        <w:t xml:space="preserve">  </w:t>
      </w:r>
    </w:p>
    <w:p>
      <w:pPr>
        <w:widowControl/>
        <w:ind w:left="0" w:leftChars="0" w:firstLine="3132" w:firstLineChars="1300"/>
        <w:jc w:val="both"/>
        <w:rPr>
          <w:rFonts w:ascii="Arial" w:hAnsi="Arial" w:cs="宋体"/>
          <w:b/>
          <w:bCs/>
          <w:kern w:val="0"/>
          <w:sz w:val="24"/>
          <w:szCs w:val="24"/>
        </w:rPr>
      </w:pPr>
      <w:r>
        <w:rPr>
          <w:rFonts w:hint="eastAsia" w:ascii="Arial" w:hAnsi="Arial" w:cs="宋体"/>
          <w:b/>
          <w:bCs/>
          <w:kern w:val="0"/>
          <w:sz w:val="24"/>
          <w:szCs w:val="24"/>
        </w:rPr>
        <w:t>施工组织设计评分表（</w:t>
      </w:r>
      <w:r>
        <w:rPr>
          <w:rFonts w:ascii="Arial" w:hAnsi="Arial" w:cs="宋体"/>
          <w:b/>
          <w:bCs/>
          <w:kern w:val="0"/>
          <w:sz w:val="24"/>
          <w:szCs w:val="24"/>
        </w:rPr>
        <w:t>标准分</w:t>
      </w:r>
      <w:r>
        <w:rPr>
          <w:rFonts w:hint="eastAsia" w:ascii="Arial" w:hAnsi="Arial" w:cs="宋体"/>
          <w:b/>
          <w:bCs/>
          <w:kern w:val="0"/>
          <w:sz w:val="24"/>
          <w:szCs w:val="24"/>
        </w:rPr>
        <w:t>40）</w:t>
      </w:r>
    </w:p>
    <w:tbl>
      <w:tblPr>
        <w:tblStyle w:val="41"/>
        <w:tblW w:w="98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651"/>
        <w:gridCol w:w="4452"/>
        <w:gridCol w:w="934"/>
        <w:gridCol w:w="696"/>
        <w:gridCol w:w="555"/>
        <w:gridCol w:w="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651"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452"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64"/>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555"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863"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1</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资</w:t>
            </w:r>
            <w:r>
              <w:rPr>
                <w:szCs w:val="21"/>
              </w:rPr>
              <w:t>格评审</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w:t>
            </w:r>
          </w:p>
        </w:tc>
        <w:tc>
          <w:tcPr>
            <w:tcW w:w="4452" w:type="dxa"/>
            <w:tcBorders>
              <w:top w:val="single" w:color="auto" w:sz="12" w:space="0"/>
              <w:bottom w:val="single" w:color="auto" w:sz="6" w:space="0"/>
            </w:tcBorders>
            <w:vAlign w:val="center"/>
          </w:tcPr>
          <w:p>
            <w:pPr>
              <w:pStyle w:val="61"/>
              <w:rPr>
                <w:szCs w:val="21"/>
              </w:rPr>
            </w:pPr>
            <w:r>
              <w:rPr>
                <w:rFonts w:hint="eastAsia"/>
                <w:szCs w:val="21"/>
              </w:rPr>
              <w:t>资</w:t>
            </w:r>
            <w:r>
              <w:rPr>
                <w:szCs w:val="21"/>
              </w:rPr>
              <w:t>格条件满足招标文件要求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合</w:t>
            </w:r>
            <w:r>
              <w:rPr>
                <w:szCs w:val="21"/>
              </w:rPr>
              <w:t>格</w:t>
            </w:r>
          </w:p>
        </w:tc>
        <w:tc>
          <w:tcPr>
            <w:tcW w:w="696" w:type="dxa"/>
            <w:tcBorders>
              <w:top w:val="single" w:color="auto" w:sz="12" w:space="0"/>
              <w:bottom w:val="single" w:color="auto" w:sz="6" w:space="0"/>
            </w:tcBorders>
          </w:tcPr>
          <w:p>
            <w:pPr>
              <w:pStyle w:val="61"/>
              <w:jc w:val="center"/>
              <w:rPr>
                <w:szCs w:val="21"/>
              </w:rPr>
            </w:pPr>
          </w:p>
        </w:tc>
        <w:tc>
          <w:tcPr>
            <w:tcW w:w="555" w:type="dxa"/>
            <w:tcBorders>
              <w:top w:val="single" w:color="auto" w:sz="12" w:space="0"/>
              <w:bottom w:val="single" w:color="auto" w:sz="6" w:space="0"/>
            </w:tcBorders>
          </w:tcPr>
          <w:p>
            <w:pPr>
              <w:pStyle w:val="61"/>
              <w:jc w:val="center"/>
              <w:rPr>
                <w:szCs w:val="21"/>
              </w:rPr>
            </w:pPr>
          </w:p>
        </w:tc>
        <w:tc>
          <w:tcPr>
            <w:tcW w:w="863"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不</w:t>
            </w:r>
            <w:r>
              <w:rPr>
                <w:szCs w:val="21"/>
              </w:rPr>
              <w:t>合格</w:t>
            </w:r>
          </w:p>
        </w:tc>
        <w:tc>
          <w:tcPr>
            <w:tcW w:w="696" w:type="dxa"/>
            <w:tcBorders>
              <w:top w:val="single" w:color="auto" w:sz="6" w:space="0"/>
              <w:bottom w:val="single" w:color="auto" w:sz="12" w:space="0"/>
            </w:tcBorders>
          </w:tcPr>
          <w:p>
            <w:pPr>
              <w:pStyle w:val="61"/>
              <w:jc w:val="center"/>
              <w:rPr>
                <w:szCs w:val="21"/>
              </w:rPr>
            </w:pPr>
          </w:p>
        </w:tc>
        <w:tc>
          <w:tcPr>
            <w:tcW w:w="555" w:type="dxa"/>
            <w:tcBorders>
              <w:top w:val="single" w:color="auto" w:sz="6" w:space="0"/>
              <w:bottom w:val="single" w:color="auto" w:sz="12" w:space="0"/>
            </w:tcBorders>
          </w:tcPr>
          <w:p>
            <w:pPr>
              <w:pStyle w:val="61"/>
              <w:jc w:val="center"/>
              <w:rPr>
                <w:szCs w:val="21"/>
              </w:rPr>
            </w:pPr>
          </w:p>
        </w:tc>
        <w:tc>
          <w:tcPr>
            <w:tcW w:w="863"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szCs w:val="21"/>
              </w:rPr>
              <w:t>2</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投</w:t>
            </w:r>
            <w:r>
              <w:rPr>
                <w:szCs w:val="21"/>
              </w:rPr>
              <w:t>标文件技术要求响应招标文件要求，无偏差</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10</w:t>
            </w:r>
            <w:r>
              <w:rPr>
                <w:szCs w:val="21"/>
              </w:rPr>
              <w:t>分</w:t>
            </w:r>
          </w:p>
        </w:tc>
        <w:tc>
          <w:tcPr>
            <w:tcW w:w="696" w:type="dxa"/>
            <w:vMerge w:val="restart"/>
            <w:tcBorders>
              <w:top w:val="single" w:color="auto" w:sz="12" w:space="0"/>
            </w:tcBorders>
          </w:tcPr>
          <w:p>
            <w:pPr>
              <w:pStyle w:val="61"/>
              <w:jc w:val="center"/>
              <w:rPr>
                <w:szCs w:val="21"/>
              </w:rPr>
            </w:pPr>
          </w:p>
        </w:tc>
        <w:tc>
          <w:tcPr>
            <w:tcW w:w="555" w:type="dxa"/>
            <w:vMerge w:val="restart"/>
            <w:tcBorders>
              <w:top w:val="single" w:color="auto" w:sz="12" w:space="0"/>
            </w:tcBorders>
          </w:tcPr>
          <w:p>
            <w:pPr>
              <w:pStyle w:val="61"/>
              <w:jc w:val="center"/>
              <w:rPr>
                <w:szCs w:val="21"/>
              </w:rPr>
            </w:pPr>
          </w:p>
        </w:tc>
        <w:tc>
          <w:tcPr>
            <w:tcW w:w="863"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,每出现一个偏差扣分，扣完为止</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0</w:t>
            </w:r>
            <w:r>
              <w:rPr>
                <w:szCs w:val="21"/>
              </w:rPr>
              <w:t>~</w:t>
            </w:r>
            <w:r>
              <w:rPr>
                <w:rFonts w:hint="eastAsia"/>
                <w:szCs w:val="21"/>
              </w:rPr>
              <w:t>9</w:t>
            </w:r>
            <w:r>
              <w:rPr>
                <w:szCs w:val="21"/>
              </w:rPr>
              <w:t>分</w:t>
            </w:r>
          </w:p>
        </w:tc>
        <w:tc>
          <w:tcPr>
            <w:tcW w:w="696" w:type="dxa"/>
            <w:vMerge w:val="continue"/>
            <w:tcBorders>
              <w:bottom w:val="single" w:color="auto" w:sz="12" w:space="0"/>
            </w:tcBorders>
          </w:tcPr>
          <w:p>
            <w:pPr>
              <w:pStyle w:val="61"/>
              <w:jc w:val="center"/>
              <w:rPr>
                <w:szCs w:val="21"/>
              </w:rPr>
            </w:pPr>
          </w:p>
        </w:tc>
        <w:tc>
          <w:tcPr>
            <w:tcW w:w="555" w:type="dxa"/>
            <w:vMerge w:val="continue"/>
            <w:tcBorders>
              <w:bottom w:val="single" w:color="auto" w:sz="12" w:space="0"/>
            </w:tcBorders>
          </w:tcPr>
          <w:p>
            <w:pPr>
              <w:pStyle w:val="61"/>
              <w:jc w:val="center"/>
              <w:rPr>
                <w:szCs w:val="21"/>
              </w:rPr>
            </w:pPr>
          </w:p>
        </w:tc>
        <w:tc>
          <w:tcPr>
            <w:tcW w:w="863"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651" w:type="dxa"/>
            <w:vMerge w:val="restart"/>
            <w:tcBorders>
              <w:top w:val="single" w:color="auto" w:sz="12" w:space="0"/>
              <w:bottom w:val="single" w:color="auto" w:sz="6" w:space="0"/>
            </w:tcBorders>
            <w:vAlign w:val="center"/>
          </w:tcPr>
          <w:p>
            <w:pPr>
              <w:pStyle w:val="61"/>
              <w:jc w:val="center"/>
              <w:rPr>
                <w:sz w:val="15"/>
                <w:szCs w:val="15"/>
              </w:rPr>
            </w:pPr>
            <w:r>
              <w:rPr>
                <w:rFonts w:hint="eastAsia"/>
                <w:sz w:val="21"/>
                <w:szCs w:val="21"/>
              </w:rPr>
              <w:t>5</w:t>
            </w:r>
            <w:r>
              <w:rPr>
                <w:sz w:val="21"/>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释清晰。</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4</w:t>
            </w:r>
            <w:r>
              <w:rPr>
                <w:szCs w:val="21"/>
              </w:rPr>
              <w:t>~</w:t>
            </w:r>
            <w:r>
              <w:rPr>
                <w:rFonts w:hint="eastAsia"/>
                <w:szCs w:val="21"/>
              </w:rPr>
              <w:t>5</w:t>
            </w:r>
            <w:r>
              <w:rPr>
                <w:szCs w:val="21"/>
              </w:rPr>
              <w:t>分</w:t>
            </w:r>
          </w:p>
        </w:tc>
        <w:tc>
          <w:tcPr>
            <w:tcW w:w="696" w:type="dxa"/>
            <w:vMerge w:val="restart"/>
            <w:tcBorders>
              <w:top w:val="single" w:color="auto" w:sz="12" w:space="0"/>
            </w:tcBorders>
          </w:tcPr>
          <w:p>
            <w:pPr>
              <w:pStyle w:val="61"/>
              <w:jc w:val="center"/>
              <w:rPr>
                <w:szCs w:val="21"/>
              </w:rPr>
            </w:pPr>
          </w:p>
        </w:tc>
        <w:tc>
          <w:tcPr>
            <w:tcW w:w="555" w:type="dxa"/>
            <w:vMerge w:val="restart"/>
            <w:tcBorders>
              <w:top w:val="single" w:color="auto" w:sz="12" w:space="0"/>
            </w:tcBorders>
          </w:tcPr>
          <w:p>
            <w:pPr>
              <w:pStyle w:val="61"/>
              <w:jc w:val="center"/>
              <w:rPr>
                <w:szCs w:val="21"/>
              </w:rPr>
            </w:pPr>
          </w:p>
        </w:tc>
        <w:tc>
          <w:tcPr>
            <w:tcW w:w="863"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3</w:t>
            </w:r>
            <w:r>
              <w:rPr>
                <w:szCs w:val="21"/>
              </w:rPr>
              <w:t>分</w:t>
            </w:r>
          </w:p>
        </w:tc>
        <w:tc>
          <w:tcPr>
            <w:tcW w:w="696" w:type="dxa"/>
            <w:vMerge w:val="continue"/>
          </w:tcPr>
          <w:p>
            <w:pPr>
              <w:pStyle w:val="61"/>
              <w:jc w:val="center"/>
              <w:rPr>
                <w:szCs w:val="21"/>
              </w:rPr>
            </w:pPr>
          </w:p>
        </w:tc>
        <w:tc>
          <w:tcPr>
            <w:tcW w:w="555" w:type="dxa"/>
            <w:vMerge w:val="continue"/>
          </w:tcPr>
          <w:p>
            <w:pPr>
              <w:pStyle w:val="61"/>
              <w:jc w:val="center"/>
              <w:rPr>
                <w:szCs w:val="21"/>
              </w:rPr>
            </w:pPr>
          </w:p>
        </w:tc>
        <w:tc>
          <w:tcPr>
            <w:tcW w:w="863"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vMerge w:val="continue"/>
            <w:tcBorders>
              <w:bottom w:val="single" w:color="auto" w:sz="12" w:space="0"/>
            </w:tcBorders>
          </w:tcPr>
          <w:p>
            <w:pPr>
              <w:pStyle w:val="61"/>
              <w:jc w:val="center"/>
              <w:rPr>
                <w:szCs w:val="21"/>
              </w:rPr>
            </w:pPr>
          </w:p>
        </w:tc>
        <w:tc>
          <w:tcPr>
            <w:tcW w:w="555" w:type="dxa"/>
            <w:vMerge w:val="continue"/>
            <w:tcBorders>
              <w:bottom w:val="single" w:color="auto" w:sz="12" w:space="0"/>
            </w:tcBorders>
          </w:tcPr>
          <w:p>
            <w:pPr>
              <w:pStyle w:val="61"/>
              <w:jc w:val="center"/>
              <w:rPr>
                <w:szCs w:val="21"/>
              </w:rPr>
            </w:pPr>
          </w:p>
        </w:tc>
        <w:tc>
          <w:tcPr>
            <w:tcW w:w="863"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4</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质量管理保证体系</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质量</w:t>
            </w:r>
            <w:r>
              <w:rPr>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vMerge w:val="restart"/>
            <w:tcBorders>
              <w:top w:val="single" w:color="auto" w:sz="12" w:space="0"/>
            </w:tcBorders>
          </w:tcPr>
          <w:p>
            <w:pPr>
              <w:pStyle w:val="61"/>
              <w:jc w:val="center"/>
              <w:rPr>
                <w:szCs w:val="21"/>
              </w:rPr>
            </w:pPr>
          </w:p>
        </w:tc>
        <w:tc>
          <w:tcPr>
            <w:tcW w:w="555" w:type="dxa"/>
            <w:vMerge w:val="restart"/>
            <w:tcBorders>
              <w:top w:val="single" w:color="auto" w:sz="12" w:space="0"/>
            </w:tcBorders>
          </w:tcPr>
          <w:p>
            <w:pPr>
              <w:pStyle w:val="61"/>
              <w:jc w:val="center"/>
              <w:rPr>
                <w:szCs w:val="21"/>
              </w:rPr>
            </w:pPr>
          </w:p>
        </w:tc>
        <w:tc>
          <w:tcPr>
            <w:tcW w:w="863"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质量</w:t>
            </w:r>
            <w:r>
              <w:rPr>
                <w:szCs w:val="21"/>
              </w:rPr>
              <w:t>体系一般，质量保证措施一般，有质量通病防治措施</w:t>
            </w:r>
            <w:r>
              <w:rPr>
                <w:rFonts w:hint="eastAsia"/>
                <w:szCs w:val="21"/>
              </w:rPr>
              <w:t>。</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vMerge w:val="continue"/>
          </w:tcPr>
          <w:p>
            <w:pPr>
              <w:pStyle w:val="61"/>
              <w:jc w:val="center"/>
              <w:rPr>
                <w:szCs w:val="21"/>
              </w:rPr>
            </w:pPr>
          </w:p>
        </w:tc>
        <w:tc>
          <w:tcPr>
            <w:tcW w:w="555" w:type="dxa"/>
            <w:vMerge w:val="continue"/>
          </w:tcPr>
          <w:p>
            <w:pPr>
              <w:pStyle w:val="61"/>
              <w:jc w:val="center"/>
              <w:rPr>
                <w:szCs w:val="21"/>
              </w:rPr>
            </w:pPr>
          </w:p>
        </w:tc>
        <w:tc>
          <w:tcPr>
            <w:tcW w:w="863"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vMerge w:val="continue"/>
            <w:tcBorders>
              <w:bottom w:val="single" w:color="auto" w:sz="12" w:space="0"/>
            </w:tcBorders>
          </w:tcPr>
          <w:p>
            <w:pPr>
              <w:pStyle w:val="61"/>
              <w:jc w:val="center"/>
              <w:rPr>
                <w:szCs w:val="21"/>
              </w:rPr>
            </w:pPr>
          </w:p>
        </w:tc>
        <w:tc>
          <w:tcPr>
            <w:tcW w:w="555" w:type="dxa"/>
            <w:vMerge w:val="continue"/>
            <w:tcBorders>
              <w:bottom w:val="single" w:color="auto" w:sz="12" w:space="0"/>
            </w:tcBorders>
          </w:tcPr>
          <w:p>
            <w:pPr>
              <w:pStyle w:val="61"/>
              <w:jc w:val="center"/>
              <w:rPr>
                <w:szCs w:val="21"/>
              </w:rPr>
            </w:pPr>
          </w:p>
        </w:tc>
        <w:tc>
          <w:tcPr>
            <w:tcW w:w="863"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5</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vMerge w:val="restart"/>
            <w:tcBorders>
              <w:top w:val="single" w:color="auto" w:sz="12" w:space="0"/>
            </w:tcBorders>
          </w:tcPr>
          <w:p>
            <w:pPr>
              <w:pStyle w:val="61"/>
              <w:jc w:val="center"/>
              <w:rPr>
                <w:szCs w:val="21"/>
              </w:rPr>
            </w:pPr>
          </w:p>
        </w:tc>
        <w:tc>
          <w:tcPr>
            <w:tcW w:w="555" w:type="dxa"/>
            <w:vMerge w:val="restart"/>
            <w:tcBorders>
              <w:top w:val="single" w:color="auto" w:sz="12" w:space="0"/>
            </w:tcBorders>
          </w:tcPr>
          <w:p>
            <w:pPr>
              <w:pStyle w:val="61"/>
              <w:jc w:val="center"/>
              <w:rPr>
                <w:szCs w:val="21"/>
              </w:rPr>
            </w:pPr>
          </w:p>
        </w:tc>
        <w:tc>
          <w:tcPr>
            <w:tcW w:w="863"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27"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vMerge w:val="continue"/>
          </w:tcPr>
          <w:p>
            <w:pPr>
              <w:pStyle w:val="61"/>
              <w:jc w:val="center"/>
              <w:rPr>
                <w:szCs w:val="21"/>
              </w:rPr>
            </w:pPr>
          </w:p>
        </w:tc>
        <w:tc>
          <w:tcPr>
            <w:tcW w:w="555" w:type="dxa"/>
            <w:vMerge w:val="continue"/>
          </w:tcPr>
          <w:p>
            <w:pPr>
              <w:pStyle w:val="61"/>
              <w:jc w:val="center"/>
              <w:rPr>
                <w:szCs w:val="21"/>
              </w:rPr>
            </w:pPr>
          </w:p>
        </w:tc>
        <w:tc>
          <w:tcPr>
            <w:tcW w:w="863"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vMerge w:val="continue"/>
            <w:tcBorders>
              <w:bottom w:val="single" w:color="auto" w:sz="12" w:space="0"/>
            </w:tcBorders>
          </w:tcPr>
          <w:p>
            <w:pPr>
              <w:pStyle w:val="61"/>
              <w:jc w:val="center"/>
              <w:rPr>
                <w:szCs w:val="21"/>
              </w:rPr>
            </w:pPr>
          </w:p>
        </w:tc>
        <w:tc>
          <w:tcPr>
            <w:tcW w:w="555" w:type="dxa"/>
            <w:vMerge w:val="continue"/>
            <w:tcBorders>
              <w:bottom w:val="single" w:color="auto" w:sz="12" w:space="0"/>
            </w:tcBorders>
          </w:tcPr>
          <w:p>
            <w:pPr>
              <w:pStyle w:val="61"/>
              <w:jc w:val="center"/>
              <w:rPr>
                <w:szCs w:val="21"/>
              </w:rPr>
            </w:pPr>
          </w:p>
        </w:tc>
        <w:tc>
          <w:tcPr>
            <w:tcW w:w="863"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6</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劳动力计划及主要设备材料、构件的用量的计划</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vMerge w:val="restart"/>
            <w:tcBorders>
              <w:top w:val="single" w:color="auto" w:sz="12" w:space="0"/>
            </w:tcBorders>
          </w:tcPr>
          <w:p>
            <w:pPr>
              <w:pStyle w:val="61"/>
              <w:jc w:val="center"/>
              <w:rPr>
                <w:szCs w:val="21"/>
              </w:rPr>
            </w:pPr>
          </w:p>
        </w:tc>
        <w:tc>
          <w:tcPr>
            <w:tcW w:w="555" w:type="dxa"/>
            <w:vMerge w:val="restart"/>
            <w:tcBorders>
              <w:top w:val="single" w:color="auto" w:sz="12" w:space="0"/>
            </w:tcBorders>
          </w:tcPr>
          <w:p>
            <w:pPr>
              <w:pStyle w:val="61"/>
              <w:jc w:val="center"/>
              <w:rPr>
                <w:szCs w:val="21"/>
              </w:rPr>
            </w:pPr>
          </w:p>
        </w:tc>
        <w:tc>
          <w:tcPr>
            <w:tcW w:w="863"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vMerge w:val="continue"/>
          </w:tcPr>
          <w:p>
            <w:pPr>
              <w:pStyle w:val="61"/>
              <w:jc w:val="center"/>
              <w:rPr>
                <w:szCs w:val="21"/>
              </w:rPr>
            </w:pPr>
          </w:p>
        </w:tc>
        <w:tc>
          <w:tcPr>
            <w:tcW w:w="555" w:type="dxa"/>
            <w:vMerge w:val="continue"/>
          </w:tcPr>
          <w:p>
            <w:pPr>
              <w:pStyle w:val="61"/>
              <w:jc w:val="center"/>
              <w:rPr>
                <w:szCs w:val="21"/>
              </w:rPr>
            </w:pPr>
          </w:p>
        </w:tc>
        <w:tc>
          <w:tcPr>
            <w:tcW w:w="863"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vMerge w:val="continue"/>
            <w:tcBorders>
              <w:bottom w:val="single" w:color="auto" w:sz="12" w:space="0"/>
            </w:tcBorders>
          </w:tcPr>
          <w:p>
            <w:pPr>
              <w:pStyle w:val="61"/>
              <w:jc w:val="center"/>
              <w:rPr>
                <w:szCs w:val="21"/>
              </w:rPr>
            </w:pPr>
          </w:p>
        </w:tc>
        <w:tc>
          <w:tcPr>
            <w:tcW w:w="555" w:type="dxa"/>
            <w:vMerge w:val="continue"/>
            <w:tcBorders>
              <w:bottom w:val="single" w:color="auto" w:sz="12" w:space="0"/>
            </w:tcBorders>
          </w:tcPr>
          <w:p>
            <w:pPr>
              <w:pStyle w:val="61"/>
              <w:jc w:val="center"/>
              <w:rPr>
                <w:szCs w:val="21"/>
              </w:rPr>
            </w:pPr>
          </w:p>
        </w:tc>
        <w:tc>
          <w:tcPr>
            <w:tcW w:w="863"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7</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主材质量保证</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设备、主材选用品牌及技术规格符合招标文件要求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6</w:t>
            </w:r>
            <w:r>
              <w:rPr>
                <w:szCs w:val="21"/>
              </w:rPr>
              <w:t>~</w:t>
            </w:r>
            <w:r>
              <w:rPr>
                <w:rFonts w:hint="eastAsia"/>
                <w:szCs w:val="21"/>
              </w:rPr>
              <w:t>10</w:t>
            </w:r>
            <w:r>
              <w:rPr>
                <w:szCs w:val="21"/>
              </w:rPr>
              <w:t>分</w:t>
            </w:r>
          </w:p>
        </w:tc>
        <w:tc>
          <w:tcPr>
            <w:tcW w:w="696" w:type="dxa"/>
            <w:vMerge w:val="restart"/>
            <w:tcBorders>
              <w:top w:val="single" w:color="auto" w:sz="12" w:space="0"/>
            </w:tcBorders>
          </w:tcPr>
          <w:p>
            <w:pPr>
              <w:pStyle w:val="61"/>
              <w:jc w:val="center"/>
              <w:rPr>
                <w:szCs w:val="21"/>
              </w:rPr>
            </w:pPr>
          </w:p>
        </w:tc>
        <w:tc>
          <w:tcPr>
            <w:tcW w:w="555" w:type="dxa"/>
            <w:vMerge w:val="restart"/>
            <w:tcBorders>
              <w:top w:val="single" w:color="auto" w:sz="12" w:space="0"/>
            </w:tcBorders>
          </w:tcPr>
          <w:p>
            <w:pPr>
              <w:pStyle w:val="61"/>
              <w:jc w:val="center"/>
              <w:rPr>
                <w:szCs w:val="21"/>
              </w:rPr>
            </w:pPr>
          </w:p>
        </w:tc>
        <w:tc>
          <w:tcPr>
            <w:tcW w:w="863"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5</w:t>
            </w:r>
            <w:r>
              <w:rPr>
                <w:szCs w:val="21"/>
              </w:rPr>
              <w:t>分</w:t>
            </w:r>
          </w:p>
        </w:tc>
        <w:tc>
          <w:tcPr>
            <w:tcW w:w="696" w:type="dxa"/>
            <w:vMerge w:val="continue"/>
          </w:tcPr>
          <w:p>
            <w:pPr>
              <w:pStyle w:val="61"/>
              <w:jc w:val="center"/>
              <w:rPr>
                <w:szCs w:val="21"/>
              </w:rPr>
            </w:pPr>
          </w:p>
        </w:tc>
        <w:tc>
          <w:tcPr>
            <w:tcW w:w="555" w:type="dxa"/>
            <w:vMerge w:val="continue"/>
          </w:tcPr>
          <w:p>
            <w:pPr>
              <w:pStyle w:val="61"/>
              <w:jc w:val="center"/>
              <w:rPr>
                <w:szCs w:val="21"/>
              </w:rPr>
            </w:pPr>
          </w:p>
        </w:tc>
        <w:tc>
          <w:tcPr>
            <w:tcW w:w="863"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未按招标文件要求选用主材</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vMerge w:val="continue"/>
            <w:tcBorders>
              <w:bottom w:val="single" w:color="auto" w:sz="12" w:space="0"/>
            </w:tcBorders>
          </w:tcPr>
          <w:p>
            <w:pPr>
              <w:pStyle w:val="61"/>
              <w:jc w:val="center"/>
              <w:rPr>
                <w:szCs w:val="21"/>
              </w:rPr>
            </w:pPr>
          </w:p>
        </w:tc>
        <w:tc>
          <w:tcPr>
            <w:tcW w:w="555" w:type="dxa"/>
            <w:vMerge w:val="continue"/>
            <w:tcBorders>
              <w:bottom w:val="single" w:color="auto" w:sz="12" w:space="0"/>
            </w:tcBorders>
          </w:tcPr>
          <w:p>
            <w:pPr>
              <w:pStyle w:val="61"/>
              <w:jc w:val="center"/>
              <w:rPr>
                <w:szCs w:val="21"/>
              </w:rPr>
            </w:pPr>
          </w:p>
        </w:tc>
        <w:tc>
          <w:tcPr>
            <w:tcW w:w="863"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8</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安全防护措施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vMerge w:val="restart"/>
            <w:tcBorders>
              <w:top w:val="single" w:color="auto" w:sz="12" w:space="0"/>
            </w:tcBorders>
          </w:tcPr>
          <w:p>
            <w:pPr>
              <w:pStyle w:val="61"/>
              <w:jc w:val="center"/>
              <w:rPr>
                <w:szCs w:val="21"/>
              </w:rPr>
            </w:pPr>
          </w:p>
        </w:tc>
        <w:tc>
          <w:tcPr>
            <w:tcW w:w="555" w:type="dxa"/>
            <w:vMerge w:val="restart"/>
            <w:tcBorders>
              <w:top w:val="single" w:color="auto" w:sz="12" w:space="0"/>
            </w:tcBorders>
          </w:tcPr>
          <w:p>
            <w:pPr>
              <w:pStyle w:val="61"/>
              <w:jc w:val="center"/>
              <w:rPr>
                <w:szCs w:val="21"/>
              </w:rPr>
            </w:pPr>
          </w:p>
        </w:tc>
        <w:tc>
          <w:tcPr>
            <w:tcW w:w="863"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2"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szCs w:val="21"/>
              </w:rPr>
              <w:t>制度</w:t>
            </w:r>
            <w:r>
              <w:rPr>
                <w:rFonts w:hint="eastAsia"/>
                <w:szCs w:val="21"/>
              </w:rPr>
              <w:t>欠完善</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vMerge w:val="continue"/>
            <w:tcBorders>
              <w:bottom w:val="single" w:color="auto" w:sz="12" w:space="0"/>
            </w:tcBorders>
          </w:tcPr>
          <w:p>
            <w:pPr>
              <w:pStyle w:val="61"/>
              <w:jc w:val="center"/>
              <w:rPr>
                <w:szCs w:val="21"/>
              </w:rPr>
            </w:pPr>
          </w:p>
        </w:tc>
        <w:tc>
          <w:tcPr>
            <w:tcW w:w="555" w:type="dxa"/>
            <w:vMerge w:val="continue"/>
            <w:tcBorders>
              <w:bottom w:val="single" w:color="auto" w:sz="12" w:space="0"/>
            </w:tcBorders>
          </w:tcPr>
          <w:p>
            <w:pPr>
              <w:pStyle w:val="61"/>
              <w:jc w:val="center"/>
              <w:rPr>
                <w:szCs w:val="21"/>
              </w:rPr>
            </w:pPr>
          </w:p>
        </w:tc>
        <w:tc>
          <w:tcPr>
            <w:tcW w:w="863"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9</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文明施工措施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文</w:t>
            </w:r>
            <w:r>
              <w:rPr>
                <w:szCs w:val="21"/>
              </w:rPr>
              <w:t>施管理体系健全，</w:t>
            </w:r>
            <w:r>
              <w:rPr>
                <w:rFonts w:hint="eastAsia"/>
                <w:szCs w:val="21"/>
              </w:rPr>
              <w:t>环</w:t>
            </w:r>
            <w:r>
              <w:rPr>
                <w:szCs w:val="21"/>
              </w:rPr>
              <w:t>保</w:t>
            </w:r>
            <w:r>
              <w:rPr>
                <w:rFonts w:hint="eastAsia"/>
                <w:szCs w:val="21"/>
              </w:rPr>
              <w:t>措施到位，</w:t>
            </w:r>
            <w:r>
              <w:rPr>
                <w:szCs w:val="21"/>
              </w:rPr>
              <w:t>针对性强</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vMerge w:val="restart"/>
            <w:tcBorders>
              <w:top w:val="single" w:color="auto" w:sz="12" w:space="0"/>
            </w:tcBorders>
          </w:tcPr>
          <w:p>
            <w:pPr>
              <w:pStyle w:val="61"/>
              <w:jc w:val="center"/>
              <w:rPr>
                <w:szCs w:val="21"/>
              </w:rPr>
            </w:pPr>
          </w:p>
        </w:tc>
        <w:tc>
          <w:tcPr>
            <w:tcW w:w="555" w:type="dxa"/>
            <w:vMerge w:val="restart"/>
            <w:tcBorders>
              <w:top w:val="single" w:color="auto" w:sz="12" w:space="0"/>
            </w:tcBorders>
          </w:tcPr>
          <w:p>
            <w:pPr>
              <w:pStyle w:val="61"/>
              <w:jc w:val="center"/>
              <w:rPr>
                <w:szCs w:val="21"/>
              </w:rPr>
            </w:pPr>
          </w:p>
        </w:tc>
        <w:tc>
          <w:tcPr>
            <w:tcW w:w="863"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有环</w:t>
            </w:r>
            <w:r>
              <w:rPr>
                <w:szCs w:val="21"/>
              </w:rPr>
              <w:t>保措施</w:t>
            </w:r>
            <w:r>
              <w:rPr>
                <w:rFonts w:hint="eastAsia"/>
                <w:szCs w:val="21"/>
              </w:rPr>
              <w:t>，</w:t>
            </w:r>
            <w:r>
              <w:rPr>
                <w:szCs w:val="21"/>
              </w:rPr>
              <w:t>针对性欠佳</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vMerge w:val="continue"/>
            <w:tcBorders>
              <w:bottom w:val="single" w:color="auto" w:sz="12" w:space="0"/>
            </w:tcBorders>
          </w:tcPr>
          <w:p>
            <w:pPr>
              <w:pStyle w:val="61"/>
              <w:jc w:val="center"/>
              <w:rPr>
                <w:szCs w:val="21"/>
              </w:rPr>
            </w:pPr>
          </w:p>
        </w:tc>
        <w:tc>
          <w:tcPr>
            <w:tcW w:w="555" w:type="dxa"/>
            <w:vMerge w:val="continue"/>
            <w:tcBorders>
              <w:bottom w:val="single" w:color="auto" w:sz="12" w:space="0"/>
            </w:tcBorders>
          </w:tcPr>
          <w:p>
            <w:pPr>
              <w:pStyle w:val="61"/>
              <w:jc w:val="center"/>
              <w:rPr>
                <w:szCs w:val="21"/>
              </w:rPr>
            </w:pPr>
          </w:p>
        </w:tc>
        <w:tc>
          <w:tcPr>
            <w:tcW w:w="863"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1"/>
              <w:jc w:val="center"/>
              <w:rPr>
                <w:szCs w:val="21"/>
              </w:rPr>
            </w:pPr>
            <w:r>
              <w:rPr>
                <w:rFonts w:hint="eastAsia"/>
                <w:szCs w:val="21"/>
              </w:rPr>
              <w:t>10</w:t>
            </w:r>
          </w:p>
        </w:tc>
        <w:tc>
          <w:tcPr>
            <w:tcW w:w="6309"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61"/>
              <w:jc w:val="center"/>
              <w:rPr>
                <w:szCs w:val="21"/>
              </w:rPr>
            </w:pPr>
          </w:p>
        </w:tc>
        <w:tc>
          <w:tcPr>
            <w:tcW w:w="696" w:type="dxa"/>
            <w:tcBorders>
              <w:top w:val="single" w:color="auto" w:sz="12" w:space="0"/>
            </w:tcBorders>
          </w:tcPr>
          <w:p>
            <w:pPr>
              <w:pStyle w:val="61"/>
              <w:jc w:val="center"/>
              <w:rPr>
                <w:szCs w:val="21"/>
              </w:rPr>
            </w:pPr>
          </w:p>
        </w:tc>
        <w:tc>
          <w:tcPr>
            <w:tcW w:w="555" w:type="dxa"/>
            <w:tcBorders>
              <w:top w:val="single" w:color="auto" w:sz="12" w:space="0"/>
            </w:tcBorders>
          </w:tcPr>
          <w:p>
            <w:pPr>
              <w:pStyle w:val="61"/>
              <w:jc w:val="center"/>
              <w:rPr>
                <w:szCs w:val="21"/>
              </w:rPr>
            </w:pPr>
          </w:p>
        </w:tc>
        <w:tc>
          <w:tcPr>
            <w:tcW w:w="863" w:type="dxa"/>
            <w:tcBorders>
              <w:top w:val="single" w:color="auto" w:sz="12" w:space="0"/>
            </w:tcBorders>
          </w:tcPr>
          <w:p>
            <w:pPr>
              <w:pStyle w:val="61"/>
              <w:jc w:val="center"/>
              <w:rPr>
                <w:szCs w:val="21"/>
              </w:rPr>
            </w:pPr>
          </w:p>
        </w:tc>
      </w:tr>
    </w:tbl>
    <w:p>
      <w:pPr>
        <w:tabs>
          <w:tab w:val="left" w:pos="2055"/>
        </w:tabs>
        <w:ind w:left="0" w:leftChars="0" w:firstLine="7770" w:firstLineChars="3700"/>
      </w:pPr>
      <w:r>
        <w:rPr>
          <w:rFonts w:hint="eastAsia"/>
        </w:rPr>
        <w:t>评委签名：</w:t>
      </w:r>
      <w:r>
        <w:tab/>
      </w:r>
    </w:p>
    <w:p>
      <w:pPr>
        <w:tabs>
          <w:tab w:val="left" w:pos="2055"/>
        </w:tabs>
        <w:ind w:firstLine="5355" w:firstLineChars="2550"/>
        <w:sectPr>
          <w:footerReference r:id="rId13" w:type="default"/>
          <w:pgSz w:w="11906" w:h="16838"/>
          <w:pgMar w:top="57" w:right="720" w:bottom="-17" w:left="607" w:header="855" w:footer="850" w:gutter="0"/>
          <w:cols w:space="0" w:num="1"/>
          <w:titlePg/>
          <w:rtlGutter w:val="0"/>
          <w:docGrid w:type="lines" w:linePitch="312" w:charSpace="0"/>
        </w:sectPr>
      </w:pP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pStyle w:val="3"/>
        <w:keepNext w:val="0"/>
        <w:keepLines w:val="0"/>
        <w:ind w:left="0"/>
      </w:pPr>
      <w:bookmarkStart w:id="1181" w:name="_Toc79682147"/>
      <w:r>
        <w:rPr>
          <w:rFonts w:hint="eastAsia" w:ascii="宋体" w:hAnsi="宋体"/>
        </w:rPr>
        <w:t>技术</w:t>
      </w:r>
      <w:r>
        <w:rPr>
          <w:rFonts w:ascii="宋体" w:hAnsi="宋体"/>
        </w:rPr>
        <w:t>要求</w:t>
      </w:r>
      <w:bookmarkEnd w:id="1181"/>
    </w:p>
    <w:p>
      <w:pPr>
        <w:pStyle w:val="123"/>
        <w:spacing w:beforeLines="0" w:afterLines="0" w:line="360" w:lineRule="auto"/>
        <w:ind w:firstLine="420" w:firstLineChars="200"/>
        <w:rPr>
          <w:color w:val="auto"/>
          <w:highlight w:val="none"/>
        </w:rPr>
      </w:pPr>
      <w:bookmarkStart w:id="1182" w:name="_Toc409182818"/>
      <w:bookmarkStart w:id="1183" w:name="_Toc346296498"/>
      <w:bookmarkStart w:id="1184" w:name="_Toc345073742"/>
      <w:bookmarkStart w:id="1185" w:name="_Toc478140888"/>
      <w:bookmarkStart w:id="1186" w:name="_Toc229274270"/>
      <w:bookmarkStart w:id="1187" w:name="_Toc70499299"/>
      <w:bookmarkStart w:id="1188" w:name="_Toc70286107"/>
      <w:bookmarkStart w:id="1189" w:name="_Toc354490207"/>
      <w:r>
        <w:rPr>
          <w:rFonts w:hint="eastAsia"/>
          <w:color w:val="auto"/>
          <w:highlight w:val="none"/>
        </w:rPr>
        <w:t>1.软件系统功能要求</w:t>
      </w:r>
    </w:p>
    <w:p>
      <w:pPr>
        <w:pStyle w:val="124"/>
        <w:ind w:firstLine="420"/>
        <w:rPr>
          <w:color w:val="auto"/>
          <w:sz w:val="21"/>
          <w:szCs w:val="21"/>
          <w:highlight w:val="none"/>
        </w:rPr>
      </w:pPr>
      <w:bookmarkStart w:id="1190" w:name="_Toc441156754"/>
      <w:bookmarkStart w:id="1191" w:name="_Toc451624042"/>
      <w:r>
        <w:rPr>
          <w:rFonts w:hint="eastAsia"/>
          <w:color w:val="auto"/>
          <w:sz w:val="21"/>
          <w:szCs w:val="21"/>
          <w:highlight w:val="none"/>
        </w:rPr>
        <w:t>智能电控管理软件需采用先进的B</w:t>
      </w:r>
      <w:r>
        <w:rPr>
          <w:color w:val="auto"/>
          <w:sz w:val="21"/>
          <w:szCs w:val="21"/>
          <w:highlight w:val="none"/>
        </w:rPr>
        <w:t>/</w:t>
      </w:r>
      <w:r>
        <w:rPr>
          <w:rFonts w:hint="eastAsia"/>
          <w:color w:val="auto"/>
          <w:sz w:val="21"/>
          <w:szCs w:val="21"/>
          <w:highlight w:val="none"/>
        </w:rPr>
        <w:t>S架构</w:t>
      </w:r>
      <w:bookmarkEnd w:id="1190"/>
      <w:r>
        <w:rPr>
          <w:rFonts w:hint="eastAsia"/>
          <w:color w:val="auto"/>
          <w:sz w:val="21"/>
          <w:szCs w:val="21"/>
          <w:highlight w:val="none"/>
        </w:rPr>
        <w:t>设计</w:t>
      </w:r>
      <w:bookmarkEnd w:id="1191"/>
      <w:r>
        <w:rPr>
          <w:rFonts w:hint="eastAsia"/>
          <w:color w:val="auto"/>
          <w:sz w:val="21"/>
          <w:szCs w:val="21"/>
          <w:highlight w:val="none"/>
        </w:rPr>
        <w:t>用户可使用校内任意一台电脑上的浏览器实现对能电控设备智能化远程管控。</w:t>
      </w:r>
      <w:r>
        <w:rPr>
          <w:rFonts w:hint="eastAsia" w:ascii="宋体" w:hAnsi="宋体"/>
          <w:color w:val="auto"/>
          <w:sz w:val="21"/>
          <w:szCs w:val="21"/>
          <w:highlight w:val="none"/>
        </w:rPr>
        <w:t>对每个学生房间的用电情况进行实时监控，房间状态实时更新；用户可随时查询用户房间当时的用电情况，也可实现过往记录的查询，具体功能要求如下:</w:t>
      </w:r>
    </w:p>
    <w:p>
      <w:pPr>
        <w:pStyle w:val="124"/>
        <w:numPr>
          <w:ilvl w:val="0"/>
          <w:numId w:val="6"/>
        </w:numPr>
        <w:ind w:firstLine="422"/>
        <w:rPr>
          <w:color w:val="auto"/>
          <w:sz w:val="21"/>
          <w:szCs w:val="21"/>
          <w:highlight w:val="none"/>
        </w:rPr>
      </w:pPr>
      <w:r>
        <w:rPr>
          <w:rFonts w:hint="eastAsia" w:ascii="宋体" w:hAnsi="宋体"/>
          <w:b/>
          <w:color w:val="auto"/>
          <w:sz w:val="21"/>
          <w:szCs w:val="21"/>
          <w:highlight w:val="none"/>
        </w:rPr>
        <w:t>系统设备状态报警：</w:t>
      </w:r>
      <w:r>
        <w:rPr>
          <w:rFonts w:hint="eastAsia" w:ascii="宋体" w:hAnsi="宋体"/>
          <w:color w:val="auto"/>
          <w:sz w:val="21"/>
          <w:szCs w:val="21"/>
          <w:highlight w:val="none"/>
        </w:rPr>
        <w:t>系统管理维护人员，权限配置后</w:t>
      </w:r>
      <w:r>
        <w:rPr>
          <w:rFonts w:hint="eastAsia" w:ascii="宋体" w:hAnsi="宋体"/>
          <w:color w:val="auto"/>
          <w:sz w:val="21"/>
          <w:szCs w:val="21"/>
          <w:highlight w:val="none"/>
          <w:lang w:val="en-US" w:eastAsia="zh-CN"/>
        </w:rPr>
        <w:t>支持</w:t>
      </w:r>
      <w:r>
        <w:rPr>
          <w:rFonts w:hint="eastAsia" w:ascii="宋体" w:hAnsi="宋体"/>
          <w:color w:val="auto"/>
          <w:sz w:val="21"/>
          <w:szCs w:val="21"/>
          <w:highlight w:val="none"/>
        </w:rPr>
        <w:t>通过手机APP获取设备运行状态，设备异常信息、缴费充值异常信息、数据采集异常信息等及时推送给相关人员，随时随地掌握系统运行状况；</w:t>
      </w:r>
    </w:p>
    <w:p>
      <w:pPr>
        <w:pStyle w:val="124"/>
        <w:numPr>
          <w:ilvl w:val="0"/>
          <w:numId w:val="6"/>
        </w:numPr>
        <w:ind w:firstLine="422"/>
        <w:rPr>
          <w:color w:val="auto"/>
          <w:sz w:val="21"/>
          <w:szCs w:val="21"/>
          <w:highlight w:val="none"/>
        </w:rPr>
      </w:pPr>
      <w:r>
        <w:rPr>
          <w:rFonts w:hint="eastAsia" w:ascii="宋体" w:hAnsi="宋体"/>
          <w:b/>
          <w:color w:val="auto"/>
          <w:sz w:val="21"/>
          <w:szCs w:val="21"/>
          <w:highlight w:val="none"/>
        </w:rPr>
        <w:t>监控功能：</w:t>
      </w:r>
      <w:r>
        <w:rPr>
          <w:rFonts w:hint="eastAsia" w:ascii="宋体" w:hAnsi="宋体"/>
          <w:color w:val="auto"/>
          <w:sz w:val="21"/>
          <w:szCs w:val="21"/>
          <w:highlight w:val="none"/>
        </w:rPr>
        <w:t>管理员可通过软件的监控界面实时地看到所有房间的用电情况</w:t>
      </w:r>
    </w:p>
    <w:p>
      <w:pPr>
        <w:pStyle w:val="124"/>
        <w:numPr>
          <w:ilvl w:val="0"/>
          <w:numId w:val="6"/>
        </w:numPr>
        <w:ind w:firstLine="422"/>
        <w:rPr>
          <w:color w:val="auto"/>
          <w:sz w:val="21"/>
          <w:szCs w:val="21"/>
          <w:highlight w:val="none"/>
        </w:rPr>
      </w:pPr>
      <w:bookmarkStart w:id="1192" w:name="_Toc451624043"/>
      <w:r>
        <w:rPr>
          <w:rFonts w:hint="eastAsia"/>
          <w:b/>
          <w:bCs/>
          <w:color w:val="auto"/>
          <w:sz w:val="21"/>
          <w:szCs w:val="21"/>
          <w:highlight w:val="none"/>
        </w:rPr>
        <w:t>多种自助购电</w:t>
      </w:r>
      <w:r>
        <w:rPr>
          <w:b/>
          <w:bCs/>
          <w:color w:val="auto"/>
          <w:sz w:val="21"/>
          <w:szCs w:val="21"/>
          <w:highlight w:val="none"/>
        </w:rPr>
        <w:t>方式</w:t>
      </w:r>
      <w:bookmarkEnd w:id="1192"/>
      <w:r>
        <w:rPr>
          <w:rFonts w:hint="eastAsia"/>
          <w:b/>
          <w:bCs/>
          <w:color w:val="auto"/>
          <w:sz w:val="21"/>
          <w:szCs w:val="21"/>
          <w:highlight w:val="none"/>
        </w:rPr>
        <w:t>：</w:t>
      </w:r>
      <w:r>
        <w:rPr>
          <w:rFonts w:hint="eastAsia"/>
          <w:color w:val="auto"/>
          <w:sz w:val="21"/>
          <w:szCs w:val="21"/>
          <w:highlight w:val="none"/>
        </w:rPr>
        <w:t>支持手机APP客户端购电、PC端在线支付、人工购电等各类设备自助购电；</w:t>
      </w:r>
    </w:p>
    <w:p>
      <w:pPr>
        <w:pStyle w:val="124"/>
        <w:numPr>
          <w:ilvl w:val="0"/>
          <w:numId w:val="6"/>
        </w:numPr>
        <w:ind w:firstLine="422"/>
        <w:rPr>
          <w:color w:val="auto"/>
          <w:sz w:val="21"/>
          <w:szCs w:val="21"/>
          <w:highlight w:val="none"/>
        </w:rPr>
      </w:pPr>
      <w:bookmarkStart w:id="1193" w:name="_Toc441156756"/>
      <w:bookmarkStart w:id="1194" w:name="_Toc451624048"/>
      <w:r>
        <w:rPr>
          <w:rFonts w:hint="eastAsia"/>
          <w:b/>
          <w:bCs/>
          <w:color w:val="auto"/>
          <w:sz w:val="21"/>
          <w:szCs w:val="21"/>
          <w:highlight w:val="none"/>
        </w:rPr>
        <w:t>能耗分析</w:t>
      </w:r>
      <w:bookmarkEnd w:id="1193"/>
      <w:bookmarkEnd w:id="1194"/>
      <w:r>
        <w:rPr>
          <w:rFonts w:hint="eastAsia"/>
          <w:b/>
          <w:bCs/>
          <w:color w:val="auto"/>
          <w:sz w:val="21"/>
          <w:szCs w:val="21"/>
          <w:highlight w:val="none"/>
        </w:rPr>
        <w:t>：</w:t>
      </w:r>
      <w:r>
        <w:rPr>
          <w:rFonts w:hint="eastAsia"/>
          <w:color w:val="auto"/>
          <w:sz w:val="21"/>
          <w:szCs w:val="21"/>
          <w:highlight w:val="none"/>
        </w:rPr>
        <w:t>系统提供房间月耗统计、房间低电量、异常电表信息等信息的展示，方便运维管理。</w:t>
      </w:r>
    </w:p>
    <w:p>
      <w:pPr>
        <w:pStyle w:val="124"/>
        <w:numPr>
          <w:ilvl w:val="0"/>
          <w:numId w:val="6"/>
        </w:numPr>
        <w:ind w:firstLine="422"/>
        <w:rPr>
          <w:color w:val="auto"/>
          <w:sz w:val="21"/>
          <w:szCs w:val="21"/>
          <w:highlight w:val="none"/>
        </w:rPr>
      </w:pPr>
      <w:bookmarkStart w:id="1195" w:name="_Toc451624049"/>
      <w:bookmarkStart w:id="1196" w:name="_Toc441156757"/>
      <w:r>
        <w:rPr>
          <w:rFonts w:hint="eastAsia"/>
          <w:b/>
          <w:bCs/>
          <w:color w:val="auto"/>
          <w:sz w:val="21"/>
          <w:szCs w:val="21"/>
          <w:highlight w:val="none"/>
        </w:rPr>
        <w:t>便捷的设备监管</w:t>
      </w:r>
      <w:bookmarkEnd w:id="1195"/>
      <w:bookmarkEnd w:id="1196"/>
      <w:r>
        <w:rPr>
          <w:rFonts w:hint="eastAsia"/>
          <w:b/>
          <w:bCs/>
          <w:color w:val="auto"/>
          <w:sz w:val="21"/>
          <w:szCs w:val="21"/>
          <w:highlight w:val="none"/>
        </w:rPr>
        <w:t>：</w:t>
      </w:r>
      <w:r>
        <w:rPr>
          <w:rFonts w:hint="eastAsia"/>
          <w:color w:val="auto"/>
          <w:sz w:val="21"/>
          <w:szCs w:val="21"/>
          <w:highlight w:val="none"/>
        </w:rPr>
        <w:t>提供直观、便捷的监管操作</w:t>
      </w:r>
      <w:r>
        <w:rPr>
          <w:rFonts w:hint="eastAsia"/>
          <w:color w:val="auto"/>
          <w:sz w:val="21"/>
          <w:szCs w:val="21"/>
          <w:highlight w:val="none"/>
          <w:lang w:eastAsia="zh-CN"/>
        </w:rPr>
        <w:t>，</w:t>
      </w:r>
      <w:r>
        <w:rPr>
          <w:rFonts w:hint="eastAsia"/>
          <w:color w:val="auto"/>
          <w:sz w:val="21"/>
          <w:szCs w:val="21"/>
          <w:highlight w:val="none"/>
        </w:rPr>
        <w:t>提供对</w:t>
      </w:r>
      <w:r>
        <w:rPr>
          <w:rFonts w:hint="eastAsia"/>
          <w:color w:val="auto"/>
          <w:sz w:val="21"/>
          <w:szCs w:val="21"/>
          <w:highlight w:val="none"/>
          <w:lang w:val="en-US" w:eastAsia="zh-CN"/>
        </w:rPr>
        <w:t>仪表校时</w:t>
      </w:r>
      <w:r>
        <w:rPr>
          <w:rFonts w:hint="eastAsia"/>
          <w:color w:val="auto"/>
          <w:sz w:val="21"/>
          <w:szCs w:val="21"/>
          <w:highlight w:val="none"/>
        </w:rPr>
        <w:t>、发参数、更换</w:t>
      </w:r>
      <w:r>
        <w:rPr>
          <w:rFonts w:hint="eastAsia"/>
          <w:color w:val="auto"/>
          <w:sz w:val="21"/>
          <w:szCs w:val="21"/>
          <w:highlight w:val="none"/>
          <w:lang w:val="en-US" w:eastAsia="zh-CN"/>
        </w:rPr>
        <w:t>电表</w:t>
      </w:r>
      <w:r>
        <w:rPr>
          <w:rFonts w:hint="eastAsia"/>
          <w:color w:val="auto"/>
          <w:sz w:val="21"/>
          <w:szCs w:val="21"/>
          <w:highlight w:val="none"/>
        </w:rPr>
        <w:t>等功能操作</w:t>
      </w:r>
      <w:r>
        <w:rPr>
          <w:rFonts w:hint="eastAsia"/>
          <w:color w:val="auto"/>
          <w:sz w:val="21"/>
          <w:szCs w:val="21"/>
          <w:highlight w:val="none"/>
          <w:lang w:eastAsia="zh-CN"/>
        </w:rPr>
        <w:t>，</w:t>
      </w:r>
      <w:r>
        <w:rPr>
          <w:rFonts w:hint="eastAsia"/>
          <w:color w:val="auto"/>
          <w:sz w:val="21"/>
          <w:szCs w:val="21"/>
          <w:highlight w:val="none"/>
        </w:rPr>
        <w:t>提供断电、送电，电量查询等功能操作。</w:t>
      </w:r>
    </w:p>
    <w:p>
      <w:pPr>
        <w:pStyle w:val="124"/>
        <w:numPr>
          <w:ilvl w:val="0"/>
          <w:numId w:val="6"/>
        </w:numPr>
        <w:ind w:firstLine="422"/>
        <w:rPr>
          <w:color w:val="auto"/>
          <w:sz w:val="21"/>
          <w:szCs w:val="21"/>
          <w:highlight w:val="none"/>
        </w:rPr>
      </w:pPr>
      <w:bookmarkStart w:id="1197" w:name="_Toc362104119"/>
      <w:bookmarkStart w:id="1198" w:name="_Toc222719212"/>
      <w:bookmarkStart w:id="1199" w:name="_Toc451624052"/>
      <w:r>
        <w:rPr>
          <w:rFonts w:hint="eastAsia"/>
          <w:b/>
          <w:bCs/>
          <w:color w:val="auto"/>
          <w:sz w:val="21"/>
          <w:szCs w:val="21"/>
          <w:highlight w:val="none"/>
        </w:rPr>
        <w:t>预存电费、恶性超载控制</w:t>
      </w:r>
      <w:bookmarkEnd w:id="1197"/>
      <w:bookmarkEnd w:id="1198"/>
      <w:bookmarkEnd w:id="1199"/>
      <w:r>
        <w:rPr>
          <w:rFonts w:hint="eastAsia"/>
          <w:color w:val="auto"/>
          <w:sz w:val="21"/>
          <w:szCs w:val="21"/>
          <w:highlight w:val="none"/>
        </w:rPr>
        <w:t>：预存电费，实现用前收费，同时可免去人工抄表、人工收费等繁琐工作，管理更为方便、轻松。每个电控单元具有最大限制电流</w:t>
      </w:r>
      <w:r>
        <w:rPr>
          <w:rFonts w:hint="eastAsia"/>
          <w:color w:val="auto"/>
          <w:sz w:val="21"/>
          <w:szCs w:val="21"/>
          <w:highlight w:val="none"/>
          <w:lang w:val="en-US" w:eastAsia="zh-CN"/>
        </w:rPr>
        <w:t>4</w:t>
      </w:r>
      <w:r>
        <w:rPr>
          <w:rFonts w:hint="eastAsia"/>
          <w:color w:val="auto"/>
          <w:sz w:val="21"/>
          <w:szCs w:val="21"/>
          <w:highlight w:val="none"/>
        </w:rPr>
        <w:t>0</w:t>
      </w:r>
      <w:r>
        <w:rPr>
          <w:color w:val="auto"/>
          <w:sz w:val="21"/>
          <w:szCs w:val="21"/>
          <w:highlight w:val="none"/>
        </w:rPr>
        <w:t>A</w:t>
      </w:r>
      <w:r>
        <w:rPr>
          <w:rFonts w:hint="eastAsia"/>
          <w:color w:val="auto"/>
          <w:sz w:val="21"/>
          <w:szCs w:val="21"/>
          <w:highlight w:val="none"/>
        </w:rPr>
        <w:t>以上，单元实际负载功率可根据用户需要按房间类型随时调整，且可对电炉、热得快等恶性负载进行识别并断开电路；恶性负载识别时间小于</w:t>
      </w:r>
      <w:r>
        <w:rPr>
          <w:rFonts w:hint="eastAsia"/>
          <w:color w:val="auto"/>
          <w:sz w:val="21"/>
          <w:szCs w:val="21"/>
          <w:highlight w:val="none"/>
          <w:lang w:val="en-US" w:eastAsia="zh-CN"/>
        </w:rPr>
        <w:t>3</w:t>
      </w:r>
      <w:r>
        <w:rPr>
          <w:rFonts w:hint="eastAsia"/>
          <w:color w:val="auto"/>
          <w:sz w:val="21"/>
          <w:szCs w:val="21"/>
          <w:highlight w:val="none"/>
        </w:rPr>
        <w:t>秒；恶性负载暂停时间和次数可通过软件设定；超载识别时间可通过软件设定；超载暂停时间和次数可通过软件设定；恶性负载、超载功率每个房间可独立设定，可通过软件设定。</w:t>
      </w:r>
    </w:p>
    <w:p>
      <w:pPr>
        <w:pStyle w:val="124"/>
        <w:numPr>
          <w:ilvl w:val="0"/>
          <w:numId w:val="6"/>
        </w:numPr>
        <w:ind w:firstLine="422"/>
        <w:rPr>
          <w:color w:val="auto"/>
          <w:sz w:val="21"/>
          <w:szCs w:val="21"/>
          <w:highlight w:val="none"/>
        </w:rPr>
      </w:pPr>
      <w:r>
        <w:rPr>
          <w:rFonts w:hint="eastAsia"/>
          <w:b/>
          <w:bCs/>
          <w:color w:val="auto"/>
          <w:sz w:val="21"/>
          <w:szCs w:val="21"/>
          <w:highlight w:val="none"/>
          <w:lang w:val="en-US" w:eastAsia="zh-CN"/>
        </w:rPr>
        <w:t>分时限流：</w:t>
      </w:r>
      <w:r>
        <w:rPr>
          <w:rFonts w:hint="eastAsia"/>
          <w:color w:val="auto"/>
          <w:sz w:val="21"/>
          <w:szCs w:val="21"/>
          <w:highlight w:val="none"/>
          <w:lang w:val="en-US" w:eastAsia="zh-CN"/>
        </w:rPr>
        <w:t>在不同的时间段，可设定与之对应的过载功率，比如：白天使用正常的过载功率，晚上只允许使用小功率，功率大小可任意设定。</w:t>
      </w:r>
    </w:p>
    <w:p>
      <w:pPr>
        <w:pStyle w:val="124"/>
        <w:numPr>
          <w:ilvl w:val="0"/>
          <w:numId w:val="6"/>
        </w:numPr>
        <w:ind w:firstLine="422"/>
        <w:rPr>
          <w:color w:val="auto"/>
          <w:sz w:val="21"/>
          <w:szCs w:val="21"/>
          <w:highlight w:val="none"/>
        </w:rPr>
      </w:pPr>
      <w:r>
        <w:rPr>
          <w:rFonts w:hint="eastAsia" w:ascii="宋体" w:hAnsi="宋体"/>
          <w:b/>
          <w:color w:val="auto"/>
          <w:sz w:val="21"/>
          <w:szCs w:val="21"/>
          <w:highlight w:val="none"/>
        </w:rPr>
        <w:t>退房及换房管理功能：</w:t>
      </w:r>
      <w:r>
        <w:rPr>
          <w:rFonts w:hint="eastAsia" w:ascii="宋体" w:hAnsi="宋体"/>
          <w:color w:val="auto"/>
          <w:sz w:val="21"/>
          <w:szCs w:val="21"/>
          <w:highlight w:val="none"/>
        </w:rPr>
        <w:t>本系统在学生集体调换寝室及退房时，通过对电脑控制中心的软件进行操作实现房间数据交换等相关功能。</w:t>
      </w:r>
    </w:p>
    <w:p>
      <w:pPr>
        <w:pStyle w:val="124"/>
        <w:numPr>
          <w:ilvl w:val="0"/>
          <w:numId w:val="6"/>
        </w:numPr>
        <w:ind w:firstLine="422"/>
        <w:rPr>
          <w:color w:val="auto"/>
          <w:sz w:val="21"/>
          <w:szCs w:val="21"/>
          <w:highlight w:val="none"/>
        </w:rPr>
      </w:pPr>
      <w:bookmarkStart w:id="1200" w:name="_Toc451624053"/>
      <w:bookmarkStart w:id="1201" w:name="_Toc362104120"/>
      <w:bookmarkStart w:id="1202" w:name="_Toc222719213"/>
      <w:r>
        <w:rPr>
          <w:rFonts w:hint="eastAsia"/>
          <w:b/>
          <w:bCs/>
          <w:color w:val="auto"/>
          <w:sz w:val="21"/>
          <w:szCs w:val="21"/>
          <w:highlight w:val="none"/>
        </w:rPr>
        <w:t>恶性负载学习</w:t>
      </w:r>
      <w:bookmarkEnd w:id="1200"/>
      <w:r>
        <w:rPr>
          <w:rFonts w:hint="eastAsia"/>
          <w:b/>
          <w:bCs/>
          <w:color w:val="auto"/>
          <w:sz w:val="21"/>
          <w:szCs w:val="21"/>
          <w:highlight w:val="none"/>
        </w:rPr>
        <w:t>：</w:t>
      </w:r>
      <w:r>
        <w:rPr>
          <w:rFonts w:hint="eastAsia"/>
          <w:color w:val="auto"/>
          <w:sz w:val="21"/>
          <w:szCs w:val="21"/>
          <w:highlight w:val="none"/>
        </w:rPr>
        <w:t>饮水机、热水器、空调这些设备开始在宿舍中普遍使用，而电热毯、电烙铁、电热发夹这些小功率的阻性负载则通常不允许使用。恶性负载学习则可以通过用电波形特性学习，在允许宿舍饮水机、热水器、空调等设备的正常使用情况下，对电热毯、电烙铁、电热发夹等小功率用电器进行限制。</w:t>
      </w:r>
    </w:p>
    <w:bookmarkEnd w:id="1201"/>
    <w:bookmarkEnd w:id="1202"/>
    <w:p>
      <w:pPr>
        <w:pStyle w:val="124"/>
        <w:numPr>
          <w:ilvl w:val="0"/>
          <w:numId w:val="6"/>
        </w:numPr>
        <w:ind w:firstLine="422"/>
        <w:rPr>
          <w:color w:val="auto"/>
          <w:sz w:val="21"/>
          <w:szCs w:val="21"/>
          <w:highlight w:val="none"/>
        </w:rPr>
      </w:pPr>
      <w:r>
        <w:rPr>
          <w:rFonts w:hint="eastAsia"/>
          <w:b/>
          <w:bCs/>
          <w:color w:val="auto"/>
          <w:sz w:val="21"/>
          <w:szCs w:val="21"/>
          <w:highlight w:val="none"/>
        </w:rPr>
        <w:t>月补助电量：</w:t>
      </w:r>
      <w:r>
        <w:rPr>
          <w:rFonts w:hint="eastAsia"/>
          <w:color w:val="auto"/>
          <w:sz w:val="21"/>
          <w:szCs w:val="21"/>
          <w:highlight w:val="none"/>
        </w:rPr>
        <w:t>补电时需要判断系统运行参数中补电频率的周期：每天一次或每月一次。补电量支持单个房间、批量房间手动补电、文件导入等方式补电。</w:t>
      </w:r>
    </w:p>
    <w:p>
      <w:pPr>
        <w:pStyle w:val="124"/>
        <w:numPr>
          <w:ilvl w:val="0"/>
          <w:numId w:val="6"/>
        </w:numPr>
        <w:ind w:firstLine="422"/>
        <w:rPr>
          <w:color w:val="auto"/>
          <w:sz w:val="21"/>
          <w:szCs w:val="21"/>
          <w:highlight w:val="none"/>
        </w:rPr>
      </w:pPr>
      <w:r>
        <w:rPr>
          <w:rFonts w:hint="eastAsia"/>
          <w:b/>
          <w:bCs/>
          <w:color w:val="auto"/>
          <w:sz w:val="21"/>
          <w:szCs w:val="21"/>
          <w:highlight w:val="none"/>
        </w:rPr>
        <w:t>应急情况处理：</w:t>
      </w:r>
      <w:r>
        <w:rPr>
          <w:rFonts w:hint="eastAsia"/>
          <w:color w:val="auto"/>
          <w:sz w:val="21"/>
          <w:szCs w:val="21"/>
          <w:highlight w:val="none"/>
        </w:rPr>
        <w:t>系统可通过硬件终端以及软件系统，远程在线操作，对学生的宿舍进行断送电处理。</w:t>
      </w:r>
    </w:p>
    <w:p>
      <w:pPr>
        <w:pStyle w:val="124"/>
        <w:numPr>
          <w:ilvl w:val="0"/>
          <w:numId w:val="6"/>
        </w:numPr>
        <w:ind w:firstLine="422"/>
        <w:rPr>
          <w:color w:val="auto"/>
          <w:sz w:val="21"/>
          <w:szCs w:val="21"/>
          <w:highlight w:val="none"/>
        </w:rPr>
      </w:pPr>
      <w:r>
        <w:rPr>
          <w:rFonts w:hint="eastAsia"/>
          <w:b/>
          <w:bCs/>
          <w:color w:val="auto"/>
          <w:sz w:val="21"/>
          <w:szCs w:val="21"/>
          <w:highlight w:val="none"/>
        </w:rPr>
        <w:t>具有低电量报警功能：</w:t>
      </w:r>
      <w:r>
        <w:rPr>
          <w:rFonts w:hint="eastAsia"/>
          <w:color w:val="auto"/>
          <w:sz w:val="21"/>
          <w:szCs w:val="21"/>
          <w:highlight w:val="none"/>
        </w:rPr>
        <w:t>报警电量参数可以根据实际需要由参数设定，剩余电量等于或小于报警电量时，提醒学生电量不足需及时购电；</w:t>
      </w:r>
      <w:r>
        <w:rPr>
          <w:rFonts w:hint="eastAsia" w:ascii="宋体" w:hAnsi="宋体"/>
          <w:color w:val="auto"/>
          <w:sz w:val="21"/>
          <w:szCs w:val="21"/>
          <w:highlight w:val="none"/>
        </w:rPr>
        <w:t>当房间电量不足时，</w:t>
      </w:r>
      <w:r>
        <w:rPr>
          <w:rFonts w:hint="eastAsia" w:ascii="宋体" w:hAnsi="宋体"/>
          <w:color w:val="auto"/>
          <w:sz w:val="21"/>
          <w:szCs w:val="21"/>
          <w:highlight w:val="none"/>
          <w:lang w:val="en-US" w:eastAsia="zh-CN"/>
        </w:rPr>
        <w:t>支持</w:t>
      </w:r>
      <w:r>
        <w:rPr>
          <w:rFonts w:hint="eastAsia" w:ascii="宋体" w:hAnsi="宋体"/>
          <w:color w:val="auto"/>
          <w:sz w:val="21"/>
          <w:szCs w:val="21"/>
          <w:highlight w:val="none"/>
        </w:rPr>
        <w:t>通过手机</w:t>
      </w:r>
      <w:r>
        <w:rPr>
          <w:rFonts w:hint="eastAsia" w:ascii="宋体" w:hAnsi="宋体"/>
          <w:color w:val="auto"/>
          <w:sz w:val="21"/>
          <w:szCs w:val="21"/>
          <w:highlight w:val="none"/>
          <w:lang w:val="en-US" w:eastAsia="zh-CN"/>
        </w:rPr>
        <w:t>短信、微信</w:t>
      </w:r>
      <w:r>
        <w:rPr>
          <w:rFonts w:hint="eastAsia" w:ascii="宋体" w:hAnsi="宋体"/>
          <w:color w:val="auto"/>
          <w:sz w:val="21"/>
          <w:szCs w:val="21"/>
          <w:highlight w:val="none"/>
        </w:rPr>
        <w:t>APP等进行预警及时推送消息给用户，提醒用户及时购电；用户可以通过手机APP、WEB端、多媒体终端随时查询电量使用及剩余情况，电量不足时可通过在线支付</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微信等</w:t>
      </w:r>
      <w:r>
        <w:rPr>
          <w:rFonts w:hint="eastAsia" w:ascii="宋体" w:hAnsi="宋体"/>
          <w:color w:val="auto"/>
          <w:sz w:val="21"/>
          <w:szCs w:val="21"/>
          <w:highlight w:val="none"/>
          <w:lang w:eastAsia="zh-CN"/>
        </w:rPr>
        <w:t>）</w:t>
      </w:r>
      <w:r>
        <w:rPr>
          <w:rFonts w:hint="eastAsia" w:ascii="宋体" w:hAnsi="宋体"/>
          <w:color w:val="auto"/>
          <w:sz w:val="21"/>
          <w:szCs w:val="21"/>
          <w:highlight w:val="none"/>
        </w:rPr>
        <w:t>轻松完成电费的缴存</w:t>
      </w:r>
      <w:r>
        <w:rPr>
          <w:rFonts w:hint="eastAsia"/>
          <w:color w:val="auto"/>
          <w:sz w:val="21"/>
          <w:szCs w:val="21"/>
          <w:highlight w:val="none"/>
        </w:rPr>
        <w:t>通过移动端提示学生及时购电。如学生不及时购电充值，当剩余电量为0时，学生宿舍断电，学生购电充值成功后自动才能恢复供电。</w:t>
      </w:r>
    </w:p>
    <w:p>
      <w:pPr>
        <w:pStyle w:val="124"/>
        <w:numPr>
          <w:ilvl w:val="0"/>
          <w:numId w:val="6"/>
        </w:numPr>
        <w:ind w:firstLine="422"/>
        <w:rPr>
          <w:color w:val="auto"/>
          <w:sz w:val="21"/>
          <w:szCs w:val="21"/>
          <w:highlight w:val="none"/>
        </w:rPr>
      </w:pPr>
      <w:r>
        <w:rPr>
          <w:rFonts w:hint="eastAsia"/>
          <w:b/>
          <w:bCs/>
          <w:color w:val="auto"/>
          <w:sz w:val="21"/>
          <w:szCs w:val="21"/>
          <w:highlight w:val="none"/>
          <w:lang w:val="en-US" w:eastAsia="zh-CN"/>
        </w:rPr>
        <w:t>欠费断电时间段设定：</w:t>
      </w:r>
      <w:r>
        <w:rPr>
          <w:rFonts w:hint="eastAsia"/>
          <w:b w:val="0"/>
          <w:bCs w:val="0"/>
          <w:color w:val="auto"/>
          <w:sz w:val="21"/>
          <w:szCs w:val="21"/>
          <w:highlight w:val="none"/>
          <w:lang w:val="en-US" w:eastAsia="zh-CN"/>
        </w:rPr>
        <w:t>欠费断电时间段可设定，</w:t>
      </w:r>
      <w:r>
        <w:rPr>
          <w:rFonts w:hint="eastAsia"/>
          <w:color w:val="auto"/>
          <w:sz w:val="21"/>
          <w:szCs w:val="21"/>
          <w:highlight w:val="none"/>
          <w:lang w:val="en-US" w:eastAsia="zh-CN"/>
        </w:rPr>
        <w:t>避免在不合适的时间段断电，比如夜间欠费不断电，白天断电，提供人性化管理。</w:t>
      </w:r>
    </w:p>
    <w:p>
      <w:pPr>
        <w:pStyle w:val="124"/>
        <w:numPr>
          <w:ilvl w:val="0"/>
          <w:numId w:val="6"/>
        </w:numPr>
        <w:ind w:firstLine="422"/>
        <w:rPr>
          <w:color w:val="auto"/>
          <w:sz w:val="21"/>
          <w:szCs w:val="21"/>
          <w:highlight w:val="none"/>
        </w:rPr>
      </w:pPr>
      <w:r>
        <w:rPr>
          <w:rFonts w:hint="eastAsia" w:ascii="宋体" w:hAnsi="宋体"/>
          <w:b/>
          <w:color w:val="auto"/>
          <w:sz w:val="21"/>
          <w:szCs w:val="21"/>
          <w:highlight w:val="none"/>
        </w:rPr>
        <w:t>瞬时功率显示</w:t>
      </w:r>
      <w:r>
        <w:rPr>
          <w:rFonts w:hint="eastAsia" w:ascii="宋体" w:hAnsi="宋体"/>
          <w:color w:val="auto"/>
          <w:sz w:val="21"/>
          <w:szCs w:val="21"/>
          <w:highlight w:val="none"/>
        </w:rPr>
        <w:t>：可通过管理机对不同的房间号查询该房间当前使用的功率、电流等的大小。</w:t>
      </w:r>
    </w:p>
    <w:p>
      <w:pPr>
        <w:pStyle w:val="124"/>
        <w:numPr>
          <w:ilvl w:val="0"/>
          <w:numId w:val="6"/>
        </w:numPr>
        <w:ind w:firstLine="422"/>
        <w:rPr>
          <w:color w:val="auto"/>
          <w:sz w:val="21"/>
          <w:szCs w:val="21"/>
          <w:highlight w:val="none"/>
        </w:rPr>
      </w:pPr>
      <w:bookmarkStart w:id="1203" w:name="_Toc451624055"/>
      <w:bookmarkStart w:id="1204" w:name="_Toc362104121"/>
      <w:bookmarkStart w:id="1205" w:name="_Toc222719214"/>
      <w:r>
        <w:rPr>
          <w:rFonts w:hint="eastAsia"/>
          <w:b/>
          <w:bCs/>
          <w:color w:val="auto"/>
          <w:sz w:val="21"/>
          <w:szCs w:val="21"/>
          <w:highlight w:val="none"/>
        </w:rPr>
        <w:t>系统数据高安全性</w:t>
      </w:r>
      <w:bookmarkEnd w:id="1203"/>
      <w:bookmarkEnd w:id="1204"/>
      <w:bookmarkEnd w:id="1205"/>
      <w:r>
        <w:rPr>
          <w:rFonts w:hint="eastAsia"/>
          <w:b/>
          <w:bCs/>
          <w:color w:val="auto"/>
          <w:sz w:val="21"/>
          <w:szCs w:val="21"/>
          <w:highlight w:val="none"/>
        </w:rPr>
        <w:t>：</w:t>
      </w:r>
      <w:r>
        <w:rPr>
          <w:rFonts w:hint="eastAsia"/>
          <w:color w:val="auto"/>
          <w:sz w:val="21"/>
          <w:szCs w:val="21"/>
          <w:highlight w:val="none"/>
        </w:rPr>
        <w:t>产品质量更稳定，性能更可靠，安全性更加保障。采用防雷和光电隔离，有效保护通讯安全。数据库采用SQL Server数据库，运行稳定、安全性高、扩展性强，非操作人员无法随意更改，保证数据安全。</w:t>
      </w:r>
    </w:p>
    <w:p>
      <w:pPr>
        <w:pStyle w:val="123"/>
        <w:spacing w:beforeLines="0" w:afterLines="0" w:line="360" w:lineRule="auto"/>
        <w:ind w:firstLine="420" w:firstLineChars="200"/>
        <w:rPr>
          <w:color w:val="auto"/>
          <w:highlight w:val="none"/>
        </w:rPr>
      </w:pPr>
      <w:r>
        <w:rPr>
          <w:rFonts w:hint="eastAsia"/>
          <w:color w:val="auto"/>
          <w:highlight w:val="none"/>
          <w:lang w:val="en-US" w:eastAsia="zh-CN"/>
        </w:rPr>
        <w:t>2</w:t>
      </w:r>
      <w:r>
        <w:rPr>
          <w:rFonts w:hint="eastAsia"/>
          <w:color w:val="auto"/>
          <w:highlight w:val="none"/>
        </w:rPr>
        <w:t>.主要设备参数</w:t>
      </w:r>
    </w:p>
    <w:p>
      <w:pPr>
        <w:pStyle w:val="123"/>
        <w:numPr>
          <w:ilvl w:val="0"/>
          <w:numId w:val="7"/>
        </w:numPr>
        <w:spacing w:beforeLines="0" w:afterLines="0" w:line="360" w:lineRule="auto"/>
        <w:ind w:left="0" w:leftChars="0" w:firstLine="420" w:firstLineChars="200"/>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eastAsia="zh-CN"/>
        </w:rPr>
        <w:t>单</w:t>
      </w:r>
      <w:r>
        <w:rPr>
          <w:rFonts w:hint="eastAsia" w:asciiTheme="minorEastAsia" w:hAnsiTheme="minorEastAsia" w:eastAsiaTheme="minorEastAsia" w:cstheme="minorEastAsia"/>
          <w:b w:val="0"/>
          <w:bCs w:val="0"/>
          <w:color w:val="auto"/>
          <w:highlight w:val="none"/>
          <w:lang w:val="en-US" w:eastAsia="zh-CN"/>
        </w:rPr>
        <w:t>相液晶</w:t>
      </w:r>
      <w:r>
        <w:rPr>
          <w:rFonts w:hint="eastAsia" w:asciiTheme="minorEastAsia" w:hAnsiTheme="minorEastAsia" w:eastAsiaTheme="minorEastAsia" w:cstheme="minorEastAsia"/>
          <w:b w:val="0"/>
          <w:bCs w:val="0"/>
          <w:color w:val="auto"/>
          <w:highlight w:val="none"/>
          <w:lang w:eastAsia="zh-CN"/>
        </w:rPr>
        <w:t>电</w:t>
      </w:r>
      <w:r>
        <w:rPr>
          <w:rFonts w:hint="eastAsia" w:asciiTheme="minorEastAsia" w:hAnsiTheme="minorEastAsia" w:eastAsiaTheme="minorEastAsia" w:cstheme="minorEastAsia"/>
          <w:b w:val="0"/>
          <w:bCs w:val="0"/>
          <w:color w:val="auto"/>
          <w:highlight w:val="none"/>
        </w:rPr>
        <w:t>表</w:t>
      </w:r>
    </w:p>
    <w:bookmarkEnd w:id="1182"/>
    <w:bookmarkEnd w:id="1183"/>
    <w:bookmarkEnd w:id="1184"/>
    <w:bookmarkEnd w:id="1185"/>
    <w:bookmarkEnd w:id="1186"/>
    <w:bookmarkEnd w:id="1187"/>
    <w:bookmarkEnd w:id="1188"/>
    <w:bookmarkEnd w:id="1189"/>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 xml:space="preserve">1、测量精度：1.0级 </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 xml:space="preserve">2、参比电压：220V/230V±20% </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 xml:space="preserve">3、频率：50Hz </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 xml:space="preserve">4、电流规格：分路10（60）A </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 xml:space="preserve">5、功耗：≤1.5W/6VA </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 xml:space="preserve">6、接线能力：10mm2 </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 xml:space="preserve">7、时钟误差：≤0.5s/d(25℃) </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 xml:space="preserve">8、启动电流：≤0.4%Ib </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 xml:space="preserve">9、安全性能：耐压4KV，绝缘5MΩ   </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 xml:space="preserve">10、环境参数：温度-25℃~55℃；湿度&lt;85%rh，无结露   </w:t>
      </w:r>
    </w:p>
    <w:p>
      <w:pPr>
        <w:pStyle w:val="123"/>
        <w:spacing w:beforeLines="0" w:afterLines="0" w:line="360" w:lineRule="auto"/>
        <w:ind w:firstLine="420" w:firstLineChars="200"/>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 xml:space="preserve">11、安装方式：35mm标准导轨安装  </w:t>
      </w:r>
    </w:p>
    <w:p>
      <w:pPr>
        <w:pStyle w:val="123"/>
        <w:spacing w:beforeLines="0" w:afterLines="0" w:line="360" w:lineRule="auto"/>
        <w:ind w:firstLine="420" w:firstLineChars="200"/>
        <w:rPr>
          <w:rFonts w:hint="eastAsia"/>
        </w:rPr>
      </w:pPr>
    </w:p>
    <w:p>
      <w:pPr>
        <w:pStyle w:val="123"/>
        <w:numPr>
          <w:ilvl w:val="0"/>
          <w:numId w:val="7"/>
        </w:numPr>
        <w:spacing w:beforeLines="0" w:afterLines="0" w:line="360" w:lineRule="auto"/>
        <w:ind w:left="0" w:leftChars="0" w:firstLine="420" w:firstLineChars="200"/>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数据采集器</w:t>
      </w:r>
    </w:p>
    <w:p>
      <w:pPr>
        <w:rPr>
          <w:rFonts w:hint="eastAsia" w:ascii="Times New Roman" w:hAnsi="Times New Roman" w:eastAsia="宋体" w:cs="Times New Roman"/>
          <w:color w:val="auto"/>
          <w:kern w:val="0"/>
          <w:sz w:val="21"/>
          <w:szCs w:val="21"/>
          <w:highlight w:val="none"/>
          <w:lang w:val="en-US" w:eastAsia="zh-CN" w:bidi="ar-SA"/>
        </w:rPr>
      </w:pPr>
      <w:bookmarkStart w:id="1206" w:name="_Toc79682148"/>
      <w:r>
        <w:rPr>
          <w:rFonts w:hint="eastAsia" w:ascii="Times New Roman" w:hAnsi="Times New Roman" w:eastAsia="宋体" w:cs="Times New Roman"/>
          <w:color w:val="auto"/>
          <w:kern w:val="0"/>
          <w:sz w:val="21"/>
          <w:szCs w:val="21"/>
          <w:highlight w:val="none"/>
          <w:lang w:val="en-US" w:eastAsia="zh-CN" w:bidi="ar-SA"/>
        </w:rPr>
        <w:t>（1）网关能实时对每个电表的情况进行实时采集，如电表用量、电表当前状态、电表告警信息等。</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（2）一台网关至少能供32/128个电表进行数据的传输与控制；</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（3）输入接口：4个光电隔离型RS485接口。</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（4）防浪涌和防雷：以太网口和RS485口电路都具备光电隔离</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（5）串口波特率范围1200～9600bps；</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（6）工作电压：5-36V DC电源</w:t>
      </w:r>
    </w:p>
    <w:p>
      <w:pP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（7）工作温度：-25℃～55℃；</w:t>
      </w: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2"/>
        <w:rPr>
          <w:rFonts w:hint="eastAsia" w:ascii="宋体" w:hAnsi="宋体"/>
          <w:spacing w:val="6"/>
          <w:kern w:val="48"/>
          <w:sz w:val="24"/>
          <w:szCs w:val="24"/>
          <w:highlight w:val="none"/>
          <w:lang w:eastAsia="zh-CN"/>
        </w:rPr>
      </w:pPr>
    </w:p>
    <w:p>
      <w:pPr>
        <w:pStyle w:val="3"/>
        <w:keepNext w:val="0"/>
        <w:keepLines w:val="0"/>
        <w:numPr>
          <w:ilvl w:val="0"/>
          <w:numId w:val="0"/>
        </w:numPr>
        <w:ind w:leftChars="0"/>
        <w:jc w:val="both"/>
        <w:rPr>
          <w:rFonts w:hint="eastAsia" w:ascii="宋体" w:hAnsi="宋体"/>
        </w:rPr>
      </w:pPr>
    </w:p>
    <w:p>
      <w:pPr>
        <w:pStyle w:val="3"/>
        <w:keepNext w:val="0"/>
        <w:keepLines w:val="0"/>
        <w:numPr>
          <w:ilvl w:val="0"/>
          <w:numId w:val="0"/>
        </w:numPr>
        <w:ind w:leftChars="0"/>
        <w:jc w:val="both"/>
        <w:rPr>
          <w:rFonts w:hint="eastAsia" w:ascii="宋体" w:hAnsi="宋体"/>
        </w:rPr>
      </w:pPr>
    </w:p>
    <w:p>
      <w:pPr>
        <w:pStyle w:val="3"/>
        <w:keepNext w:val="0"/>
        <w:keepLines w:val="0"/>
        <w:numPr>
          <w:ilvl w:val="0"/>
          <w:numId w:val="0"/>
        </w:numPr>
        <w:ind w:leftChars="0"/>
        <w:jc w:val="both"/>
        <w:rPr>
          <w:rFonts w:hint="eastAsia" w:ascii="宋体" w:hAnsi="宋体"/>
        </w:rPr>
      </w:pPr>
    </w:p>
    <w:p>
      <w:pPr>
        <w:pStyle w:val="3"/>
        <w:keepNext w:val="0"/>
        <w:keepLines w:val="0"/>
        <w:numPr>
          <w:ilvl w:val="0"/>
          <w:numId w:val="0"/>
        </w:numPr>
        <w:ind w:firstLine="1928" w:firstLineChars="600"/>
        <w:jc w:val="both"/>
        <w:rPr>
          <w:rFonts w:ascii="宋体" w:hAnsi="宋体"/>
        </w:rPr>
      </w:pPr>
      <w:r>
        <w:rPr>
          <w:rFonts w:hint="eastAsia" w:ascii="宋体" w:hAnsi="宋体"/>
          <w:lang w:eastAsia="zh-CN"/>
        </w:rPr>
        <w:t>第八章</w:t>
      </w:r>
      <w:r>
        <w:rPr>
          <w:rFonts w:hint="eastAsia" w:ascii="宋体" w:hAnsi="宋体"/>
          <w:lang w:val="en-US" w:eastAsia="zh-CN"/>
        </w:rPr>
        <w:t xml:space="preserve"> </w:t>
      </w:r>
      <w:r>
        <w:rPr>
          <w:rFonts w:hint="eastAsia" w:ascii="宋体" w:hAnsi="宋体"/>
        </w:rPr>
        <w:t>工程量清单及图纸</w:t>
      </w:r>
      <w:bookmarkEnd w:id="1206"/>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jc w:val="right"/>
        <w:rPr>
          <w:sz w:val="24"/>
        </w:rPr>
      </w:pPr>
      <w:r>
        <w:rPr>
          <w:rFonts w:hint="eastAsia"/>
          <w:sz w:val="24"/>
        </w:rPr>
        <w:t>学校招标工作领导小组</w:t>
      </w:r>
    </w:p>
    <w:p>
      <w:pPr>
        <w:spacing w:line="400" w:lineRule="exact"/>
        <w:ind w:firstLine="480"/>
        <w:jc w:val="right"/>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16" w:type="first"/>
      <w:footerReference r:id="rId19" w:type="first"/>
      <w:headerReference r:id="rId14" w:type="default"/>
      <w:footerReference r:id="rId17" w:type="default"/>
      <w:headerReference r:id="rId15" w:type="even"/>
      <w:footerReference r:id="rId18"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97</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rFonts w:hint="eastAsia"/>
      </w:rPr>
      <w:fldChar w:fldCharType="begin"/>
    </w:r>
    <w:r>
      <w:rPr>
        <w:rFonts w:hint="eastAsia"/>
      </w:rPr>
      <w:instrText xml:space="preserve"> PAGE  \* MERGEFORMAT </w:instrText>
    </w:r>
    <w:r>
      <w:rPr>
        <w:rFonts w:hint="eastAsia"/>
      </w:rPr>
      <w:fldChar w:fldCharType="separate"/>
    </w:r>
    <w:r>
      <w:t>98</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487BCB"/>
    <w:multiLevelType w:val="singleLevel"/>
    <w:tmpl w:val="E8487BCB"/>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AAF4333"/>
    <w:multiLevelType w:val="singleLevel"/>
    <w:tmpl w:val="0AAF4333"/>
    <w:lvl w:ilvl="0" w:tentative="0">
      <w:start w:val="1"/>
      <w:numFmt w:val="decimalEnclosedCircleChinese"/>
      <w:suff w:val="nothing"/>
      <w:lvlText w:val="%1　"/>
      <w:lvlJc w:val="left"/>
      <w:pPr>
        <w:ind w:left="0" w:firstLine="400"/>
      </w:pPr>
      <w:rPr>
        <w:rFonts w:hint="eastAsia"/>
      </w:rPr>
    </w:lvl>
  </w:abstractNum>
  <w:abstractNum w:abstractNumId="3">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6">
    <w:nsid w:val="71D65F47"/>
    <w:multiLevelType w:val="multilevel"/>
    <w:tmpl w:val="71D65F47"/>
    <w:lvl w:ilvl="0" w:tentative="0">
      <w:start w:val="1"/>
      <w:numFmt w:val="chineseCountingThousand"/>
      <w:pStyle w:val="3"/>
      <w:suff w:val="nothing"/>
      <w:lvlText w:val="第%1章 "/>
      <w:lvlJc w:val="left"/>
      <w:pPr>
        <w:ind w:left="4095" w:firstLine="0"/>
      </w:pPr>
      <w:rPr>
        <w:rFonts w:hint="eastAsia"/>
      </w:rPr>
    </w:lvl>
    <w:lvl w:ilvl="1" w:tentative="0">
      <w:start w:val="1"/>
      <w:numFmt w:val="ideographDigital"/>
      <w:pStyle w:val="4"/>
      <w:suff w:val="nothing"/>
      <w:lvlText w:val="%2、 "/>
      <w:lvlJc w:val="left"/>
      <w:pPr>
        <w:ind w:left="0" w:firstLine="0"/>
      </w:pPr>
      <w:rPr>
        <w:rFonts w:hint="eastAsia"/>
      </w:rPr>
    </w:lvl>
    <w:lvl w:ilvl="2" w:tentative="0">
      <w:start w:val="1"/>
      <w:numFmt w:val="ideographDigital"/>
      <w:pStyle w:val="5"/>
      <w:suff w:val="nothing"/>
      <w:lvlText w:val="（%3）、"/>
      <w:lvlJc w:val="left"/>
      <w:pPr>
        <w:ind w:left="0" w:firstLine="0"/>
      </w:pPr>
      <w:rPr>
        <w:rFonts w:hint="eastAsia"/>
      </w:rPr>
    </w:lvl>
    <w:lvl w:ilvl="3" w:tentative="0">
      <w:start w:val="1"/>
      <w:numFmt w:val="decimal"/>
      <w:lvlRestart w:val="0"/>
      <w:pStyle w:val="6"/>
      <w:suff w:val="nothing"/>
      <w:lvlText w:val="%4. "/>
      <w:lvlJc w:val="left"/>
      <w:pPr>
        <w:ind w:left="1155" w:firstLine="0"/>
      </w:pPr>
      <w:rPr>
        <w:rFonts w:hint="eastAsia"/>
      </w:rPr>
    </w:lvl>
    <w:lvl w:ilvl="4" w:tentative="0">
      <w:start w:val="1"/>
      <w:numFmt w:val="decimal"/>
      <w:pStyle w:val="7"/>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3E92EB5"/>
    <w:rsid w:val="03F41DBA"/>
    <w:rsid w:val="0423034E"/>
    <w:rsid w:val="06A34A4A"/>
    <w:rsid w:val="074A534B"/>
    <w:rsid w:val="0834480F"/>
    <w:rsid w:val="095A1D50"/>
    <w:rsid w:val="0C1C5013"/>
    <w:rsid w:val="114B0313"/>
    <w:rsid w:val="14213BED"/>
    <w:rsid w:val="14FC2F8D"/>
    <w:rsid w:val="18E846D5"/>
    <w:rsid w:val="1A18015E"/>
    <w:rsid w:val="1DEB0A3D"/>
    <w:rsid w:val="1E3953ED"/>
    <w:rsid w:val="1E8E10AB"/>
    <w:rsid w:val="1FB1434A"/>
    <w:rsid w:val="20A506C3"/>
    <w:rsid w:val="2160507A"/>
    <w:rsid w:val="23B105BF"/>
    <w:rsid w:val="289537D7"/>
    <w:rsid w:val="2DB945AD"/>
    <w:rsid w:val="31A67067"/>
    <w:rsid w:val="34FA0CBB"/>
    <w:rsid w:val="36513340"/>
    <w:rsid w:val="369E3E01"/>
    <w:rsid w:val="38FC729C"/>
    <w:rsid w:val="3D862028"/>
    <w:rsid w:val="40D414AF"/>
    <w:rsid w:val="43995410"/>
    <w:rsid w:val="49B84D57"/>
    <w:rsid w:val="4F670745"/>
    <w:rsid w:val="50BD42BD"/>
    <w:rsid w:val="52641EB1"/>
    <w:rsid w:val="559A1AA0"/>
    <w:rsid w:val="569A3762"/>
    <w:rsid w:val="57A64616"/>
    <w:rsid w:val="580F45DF"/>
    <w:rsid w:val="5A313214"/>
    <w:rsid w:val="5CEC5CA3"/>
    <w:rsid w:val="5E581753"/>
    <w:rsid w:val="5E8C253F"/>
    <w:rsid w:val="62BA675C"/>
    <w:rsid w:val="64224BC6"/>
    <w:rsid w:val="64C57DD1"/>
    <w:rsid w:val="672804D4"/>
    <w:rsid w:val="68EB5243"/>
    <w:rsid w:val="6CE10F49"/>
    <w:rsid w:val="6F037ACB"/>
    <w:rsid w:val="707849F2"/>
    <w:rsid w:val="742E3504"/>
    <w:rsid w:val="792F5628"/>
    <w:rsid w:val="7BF473AC"/>
    <w:rsid w:val="7C49611A"/>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4">
    <w:name w:val="heading 2"/>
    <w:basedOn w:val="1"/>
    <w:next w:val="5"/>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5">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6">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7">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8">
    <w:name w:val="heading 6"/>
    <w:next w:val="9"/>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9">
    <w:name w:val="heading 7"/>
    <w:next w:val="10"/>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10">
    <w:name w:val="heading 8"/>
    <w:next w:val="11"/>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1">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2">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3">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4">
    <w:name w:val="caption"/>
    <w:basedOn w:val="1"/>
    <w:next w:val="1"/>
    <w:qFormat/>
    <w:uiPriority w:val="0"/>
    <w:pPr>
      <w:spacing w:line="240" w:lineRule="auto"/>
      <w:ind w:firstLine="129" w:firstLineChars="46"/>
    </w:pPr>
    <w:rPr>
      <w:rFonts w:ascii="黑体" w:hAnsi="黑体" w:eastAsia="黑体"/>
      <w:b/>
      <w:sz w:val="28"/>
      <w:szCs w:val="28"/>
    </w:rPr>
  </w:style>
  <w:style w:type="paragraph" w:styleId="15">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6">
    <w:name w:val="annotation text"/>
    <w:basedOn w:val="1"/>
    <w:link w:val="76"/>
    <w:qFormat/>
    <w:uiPriority w:val="0"/>
    <w:pPr>
      <w:adjustRightInd w:val="0"/>
      <w:spacing w:line="360" w:lineRule="atLeast"/>
      <w:jc w:val="left"/>
      <w:textAlignment w:val="baseline"/>
    </w:pPr>
    <w:rPr>
      <w:kern w:val="0"/>
      <w:sz w:val="24"/>
      <w:szCs w:val="20"/>
    </w:rPr>
  </w:style>
  <w:style w:type="paragraph" w:styleId="17">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8">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99"/>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6"/>
    <w:next w:val="16"/>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Char"/>
    <w:link w:val="3"/>
    <w:qFormat/>
    <w:uiPriority w:val="0"/>
    <w:rPr>
      <w:b/>
      <w:bCs/>
      <w:snapToGrid w:val="0"/>
      <w:sz w:val="32"/>
      <w:szCs w:val="32"/>
    </w:rPr>
  </w:style>
  <w:style w:type="character" w:customStyle="1" w:styleId="51">
    <w:name w:val="标题 9 Char"/>
    <w:link w:val="11"/>
    <w:qFormat/>
    <w:uiPriority w:val="0"/>
    <w:rPr>
      <w:rFonts w:ascii="Arial" w:hAnsi="Arial"/>
      <w:snapToGrid w:val="0"/>
      <w:sz w:val="24"/>
      <w:szCs w:val="24"/>
      <w:lang w:bidi="ar-SA"/>
    </w:rPr>
  </w:style>
  <w:style w:type="character" w:customStyle="1" w:styleId="52">
    <w:name w:val="标题 8 Char"/>
    <w:link w:val="10"/>
    <w:qFormat/>
    <w:uiPriority w:val="0"/>
    <w:rPr>
      <w:rFonts w:ascii="Arial" w:hAnsi="Arial"/>
      <w:snapToGrid w:val="0"/>
      <w:sz w:val="24"/>
      <w:szCs w:val="24"/>
      <w:lang w:bidi="ar-SA"/>
    </w:rPr>
  </w:style>
  <w:style w:type="character" w:customStyle="1" w:styleId="53">
    <w:name w:val="标题 7 Char"/>
    <w:link w:val="9"/>
    <w:qFormat/>
    <w:uiPriority w:val="0"/>
    <w:rPr>
      <w:color w:val="FF0000"/>
      <w:kern w:val="2"/>
      <w:sz w:val="21"/>
      <w:szCs w:val="24"/>
      <w:lang w:bidi="ar-SA"/>
    </w:rPr>
  </w:style>
  <w:style w:type="character" w:customStyle="1" w:styleId="54">
    <w:name w:val="标题 6 Char"/>
    <w:link w:val="8"/>
    <w:qFormat/>
    <w:uiPriority w:val="0"/>
    <w:rPr>
      <w:rFonts w:ascii="宋体" w:hAnsi="宋体"/>
      <w:kern w:val="2"/>
      <w:sz w:val="21"/>
      <w:szCs w:val="24"/>
      <w:lang w:bidi="ar-SA"/>
    </w:rPr>
  </w:style>
  <w:style w:type="character" w:customStyle="1" w:styleId="55">
    <w:name w:val="标题 5 Char"/>
    <w:link w:val="7"/>
    <w:qFormat/>
    <w:uiPriority w:val="0"/>
    <w:rPr>
      <w:rFonts w:ascii="宋体" w:hAnsi="宋体"/>
      <w:bCs/>
      <w:snapToGrid w:val="0"/>
      <w:sz w:val="21"/>
      <w:szCs w:val="21"/>
      <w:lang w:bidi="ar-SA"/>
    </w:rPr>
  </w:style>
  <w:style w:type="character" w:customStyle="1" w:styleId="56">
    <w:name w:val="标题 4 Char"/>
    <w:link w:val="6"/>
    <w:qFormat/>
    <w:uiPriority w:val="0"/>
    <w:rPr>
      <w:rFonts w:ascii="宋体" w:hAnsi="宋体"/>
      <w:b/>
      <w:bCs/>
      <w:snapToGrid w:val="0"/>
      <w:sz w:val="21"/>
      <w:szCs w:val="21"/>
      <w:lang w:bidi="ar-SA"/>
    </w:rPr>
  </w:style>
  <w:style w:type="character" w:customStyle="1" w:styleId="57">
    <w:name w:val="标题 3 Char"/>
    <w:link w:val="5"/>
    <w:qFormat/>
    <w:uiPriority w:val="0"/>
    <w:rPr>
      <w:rFonts w:ascii="宋体" w:hAnsi="宋体"/>
      <w:b/>
      <w:bCs/>
      <w:snapToGrid w:val="0"/>
      <w:sz w:val="24"/>
      <w:szCs w:val="21"/>
      <w:lang w:bidi="ar-SA"/>
    </w:rPr>
  </w:style>
  <w:style w:type="character" w:customStyle="1" w:styleId="58">
    <w:name w:val="标题 2 Char"/>
    <w:link w:val="4"/>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3"/>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Char"/>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Char"/>
    <w:link w:val="27"/>
    <w:qFormat/>
    <w:uiPriority w:val="0"/>
    <w:rPr>
      <w:kern w:val="2"/>
      <w:sz w:val="18"/>
      <w:szCs w:val="18"/>
    </w:rPr>
  </w:style>
  <w:style w:type="character" w:customStyle="1" w:styleId="71">
    <w:name w:val="页脚 Char"/>
    <w:link w:val="26"/>
    <w:qFormat/>
    <w:uiPriority w:val="99"/>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Char"/>
    <w:link w:val="23"/>
    <w:qFormat/>
    <w:uiPriority w:val="0"/>
    <w:rPr>
      <w:kern w:val="2"/>
      <w:sz w:val="21"/>
      <w:szCs w:val="24"/>
    </w:rPr>
  </w:style>
  <w:style w:type="character" w:customStyle="1" w:styleId="75">
    <w:name w:val="纯文本 Char"/>
    <w:link w:val="21"/>
    <w:qFormat/>
    <w:uiPriority w:val="0"/>
    <w:rPr>
      <w:rFonts w:ascii="宋体" w:hAnsi="Courier New" w:cs="Courier New"/>
      <w:kern w:val="2"/>
      <w:sz w:val="21"/>
      <w:szCs w:val="21"/>
    </w:rPr>
  </w:style>
  <w:style w:type="character" w:customStyle="1" w:styleId="76">
    <w:name w:val="批注文字 Char"/>
    <w:link w:val="16"/>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Char"/>
    <w:link w:val="25"/>
    <w:semiHidden/>
    <w:qFormat/>
    <w:uiPriority w:val="0"/>
    <w:rPr>
      <w:kern w:val="2"/>
      <w:sz w:val="18"/>
      <w:szCs w:val="18"/>
    </w:rPr>
  </w:style>
  <w:style w:type="character" w:customStyle="1" w:styleId="79">
    <w:name w:val="批注主题 Char"/>
    <w:basedOn w:val="76"/>
    <w:link w:val="40"/>
    <w:qFormat/>
    <w:uiPriority w:val="0"/>
    <w:rPr>
      <w:sz w:val="24"/>
    </w:rPr>
  </w:style>
  <w:style w:type="character" w:customStyle="1" w:styleId="80">
    <w:name w:val="HTML 预设格式 Char"/>
    <w:link w:val="37"/>
    <w:qFormat/>
    <w:uiPriority w:val="0"/>
    <w:rPr>
      <w:rFonts w:ascii="Arial" w:hAnsi="Arial" w:cs="Arial"/>
      <w:sz w:val="24"/>
      <w:szCs w:val="24"/>
    </w:rPr>
  </w:style>
  <w:style w:type="character" w:customStyle="1" w:styleId="81">
    <w:name w:val="正文文本 Char"/>
    <w:link w:val="18"/>
    <w:qFormat/>
    <w:uiPriority w:val="0"/>
    <w:rPr>
      <w:rFonts w:ascii="宋体" w:hAnsi="宋体"/>
      <w:sz w:val="24"/>
      <w:szCs w:val="24"/>
      <w:lang w:eastAsia="en-US" w:bidi="en-US"/>
    </w:rPr>
  </w:style>
  <w:style w:type="character" w:customStyle="1" w:styleId="82">
    <w:name w:val="正文文本缩进 Char"/>
    <w:link w:val="2"/>
    <w:qFormat/>
    <w:uiPriority w:val="0"/>
    <w:rPr>
      <w:rFonts w:ascii="宋体" w:hAnsi="宋体"/>
      <w:color w:val="000000"/>
      <w:kern w:val="2"/>
      <w:sz w:val="28"/>
    </w:rPr>
  </w:style>
  <w:style w:type="character" w:customStyle="1" w:styleId="83">
    <w:name w:val="副标题 Char"/>
    <w:link w:val="30"/>
    <w:qFormat/>
    <w:uiPriority w:val="11"/>
    <w:rPr>
      <w:rFonts w:ascii="Cambria" w:hAnsi="Cambria"/>
      <w:sz w:val="24"/>
      <w:szCs w:val="24"/>
    </w:rPr>
  </w:style>
  <w:style w:type="character" w:customStyle="1" w:styleId="84">
    <w:name w:val="正文文本 2 Char"/>
    <w:link w:val="36"/>
    <w:qFormat/>
    <w:uiPriority w:val="0"/>
    <w:rPr>
      <w:rFonts w:ascii="幼圆" w:hAnsi="Calibri" w:eastAsia="幼圆"/>
      <w:sz w:val="24"/>
      <w:szCs w:val="24"/>
    </w:rPr>
  </w:style>
  <w:style w:type="character" w:customStyle="1" w:styleId="85">
    <w:name w:val="正文文本 3 Char"/>
    <w:link w:val="17"/>
    <w:qFormat/>
    <w:uiPriority w:val="0"/>
    <w:rPr>
      <w:rFonts w:ascii="Arial" w:hAnsi="Arial" w:cs="Arial"/>
      <w:color w:val="FF0000"/>
      <w:kern w:val="2"/>
      <w:sz w:val="24"/>
      <w:szCs w:val="24"/>
    </w:rPr>
  </w:style>
  <w:style w:type="character" w:customStyle="1" w:styleId="86">
    <w:name w:val="正文文本缩进 2 Char"/>
    <w:link w:val="24"/>
    <w:qFormat/>
    <w:uiPriority w:val="0"/>
    <w:rPr>
      <w:rFonts w:ascii="Arial" w:hAnsi="Arial" w:cs="Arial"/>
      <w:kern w:val="2"/>
      <w:sz w:val="24"/>
      <w:szCs w:val="24"/>
    </w:rPr>
  </w:style>
  <w:style w:type="character" w:customStyle="1" w:styleId="87">
    <w:name w:val="正文文本缩进 3 Char"/>
    <w:link w:val="33"/>
    <w:qFormat/>
    <w:uiPriority w:val="0"/>
    <w:rPr>
      <w:rFonts w:ascii="Calibri" w:hAnsi="Calibri"/>
      <w:kern w:val="2"/>
      <w:sz w:val="28"/>
    </w:rPr>
  </w:style>
  <w:style w:type="character" w:customStyle="1" w:styleId="88">
    <w:name w:val="文档结构图 Char"/>
    <w:link w:val="15"/>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6"/>
    <w:next w:val="16"/>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3"/>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List Paragraph"/>
    <w:basedOn w:val="1"/>
    <w:qFormat/>
    <w:uiPriority w:val="99"/>
    <w:pPr>
      <w:ind w:firstLine="420"/>
    </w:pPr>
  </w:style>
  <w:style w:type="paragraph" w:customStyle="1" w:styleId="123">
    <w:name w:val="标准段落"/>
    <w:basedOn w:val="1"/>
    <w:qFormat/>
    <w:uiPriority w:val="0"/>
    <w:pPr>
      <w:adjustRightInd w:val="0"/>
      <w:spacing w:beforeLines="50" w:afterLines="50" w:line="300" w:lineRule="auto"/>
      <w:ind w:firstLine="454" w:firstLineChars="0"/>
      <w:jc w:val="left"/>
    </w:pPr>
    <w:rPr>
      <w:rFonts w:ascii="Calibri" w:hAnsi="Calibri"/>
      <w:szCs w:val="21"/>
    </w:rPr>
  </w:style>
  <w:style w:type="paragraph" w:customStyle="1" w:styleId="124">
    <w:name w:val="正文段"/>
    <w:basedOn w:val="1"/>
    <w:qFormat/>
    <w:uiPriority w:val="0"/>
    <w:pPr>
      <w:widowControl/>
      <w:snapToGrid w:val="0"/>
    </w:pPr>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5.wmf"/><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image" Target="media/image4.wmf"/><Relationship Id="rId27" Type="http://schemas.openxmlformats.org/officeDocument/2006/relationships/oleObject" Target="embeddings/oleObject4.bin"/><Relationship Id="rId26" Type="http://schemas.openxmlformats.org/officeDocument/2006/relationships/image" Target="media/image3.wmf"/><Relationship Id="rId25" Type="http://schemas.openxmlformats.org/officeDocument/2006/relationships/oleObject" Target="embeddings/oleObject3.bin"/><Relationship Id="rId24" Type="http://schemas.openxmlformats.org/officeDocument/2006/relationships/image" Target="media/image2.wmf"/><Relationship Id="rId23" Type="http://schemas.openxmlformats.org/officeDocument/2006/relationships/oleObject" Target="embeddings/oleObject2.bin"/><Relationship Id="rId22" Type="http://schemas.openxmlformats.org/officeDocument/2006/relationships/image" Target="media/image1.wmf"/><Relationship Id="rId21" Type="http://schemas.openxmlformats.org/officeDocument/2006/relationships/oleObject" Target="embeddings/oleObject1.bin"/><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152</Pages>
  <Words>15209</Words>
  <Characters>86692</Characters>
  <Lines>722</Lines>
  <Paragraphs>203</Paragraphs>
  <TotalTime>73</TotalTime>
  <ScaleCrop>false</ScaleCrop>
  <LinksUpToDate>false</LinksUpToDate>
  <CharactersWithSpaces>101698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2021-10-21T07:42:53Z</dcterms:modified>
  <dc:title>工程编号：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582528B9D03C4D86B99C9EA8389A5DC6</vt:lpwstr>
  </property>
</Properties>
</file>