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napToGrid w:val="0"/>
        <w:spacing w:line="400" w:lineRule="exact"/>
        <w:jc w:val="left"/>
        <w:rPr>
          <w:rFonts w:hint="eastAsia" w:hAnsi="宋体" w:cs="宋体"/>
        </w:rPr>
      </w:pPr>
      <w:bookmarkStart w:id="0" w:name="_GoBack"/>
      <w:bookmarkEnd w:id="0"/>
    </w:p>
    <w:p>
      <w:pPr>
        <w:snapToGrid w:val="0"/>
        <w:spacing w:line="400" w:lineRule="exact"/>
        <w:jc w:val="center"/>
        <w:rPr>
          <w:rFonts w:ascii="方正小标宋简体" w:hAnsi="微软雅黑" w:eastAsia="方正小标宋简体" w:cs="方正小标宋简体"/>
          <w:caps/>
          <w:sz w:val="36"/>
          <w:szCs w:val="36"/>
        </w:rPr>
      </w:pPr>
      <w:r>
        <w:rPr>
          <w:rFonts w:hint="eastAsia" w:ascii="方正小标宋简体" w:hAnsi="微软雅黑" w:eastAsia="方正小标宋简体" w:cs="方正小标宋简体"/>
          <w:caps/>
          <w:sz w:val="36"/>
          <w:szCs w:val="36"/>
        </w:rPr>
        <w:t>技术参数</w:t>
      </w:r>
    </w:p>
    <w:p>
      <w:pPr>
        <w:snapToGrid w:val="0"/>
        <w:spacing w:before="156" w:beforeLines="50" w:line="400" w:lineRule="exact"/>
        <w:rPr>
          <w:rFonts w:ascii="宋体"/>
        </w:rPr>
      </w:pPr>
    </w:p>
    <w:tbl>
      <w:tblPr>
        <w:tblStyle w:val="6"/>
        <w:tblW w:w="10207" w:type="dxa"/>
        <w:tblInd w:w="-86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7"/>
        <w:gridCol w:w="893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double" w:color="auto" w:sz="4" w:space="0"/>
            </w:tcBorders>
          </w:tcPr>
          <w:p>
            <w:pPr>
              <w:pStyle w:val="2"/>
              <w:adjustRightInd w:val="0"/>
              <w:snapToGrid w:val="0"/>
              <w:spacing w:line="400" w:lineRule="exact"/>
              <w:jc w:val="center"/>
              <w:rPr>
                <w:rFonts w:hAnsi="宋体"/>
                <w:color w:val="auto"/>
                <w:sz w:val="24"/>
                <w:szCs w:val="24"/>
              </w:rPr>
            </w:pPr>
            <w:r>
              <w:rPr>
                <w:rFonts w:hint="eastAsia" w:cs="宋体" w:asciiTheme="majorEastAsia" w:hAnsiTheme="majorEastAsia" w:eastAsiaTheme="majorEastAsia"/>
                <w:b/>
                <w:bCs/>
                <w:color w:val="auto"/>
                <w:kern w:val="0"/>
              </w:rPr>
              <w:t>指标项</w:t>
            </w:r>
          </w:p>
        </w:tc>
        <w:tc>
          <w:tcPr>
            <w:tcW w:w="8930" w:type="dxa"/>
            <w:tcBorders>
              <w:top w:val="double" w:color="auto" w:sz="4" w:space="0"/>
            </w:tcBorders>
          </w:tcPr>
          <w:p>
            <w:pPr>
              <w:pStyle w:val="2"/>
              <w:adjustRightInd w:val="0"/>
              <w:snapToGrid w:val="0"/>
              <w:spacing w:line="400" w:lineRule="exact"/>
              <w:jc w:val="center"/>
              <w:rPr>
                <w:rFonts w:hAnsi="宋体"/>
                <w:color w:val="auto"/>
                <w:sz w:val="24"/>
                <w:szCs w:val="24"/>
              </w:rPr>
            </w:pPr>
            <w:r>
              <w:rPr>
                <w:rFonts w:hint="eastAsia" w:hAnsi="宋体"/>
                <w:color w:val="auto"/>
                <w:sz w:val="24"/>
                <w:szCs w:val="24"/>
              </w:rPr>
              <w:t>招标文件采购需求的内容与数值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外形</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≥2U机架式设备，含标准滑动导轨套件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CPU</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配置≥2个Intel® Xeon® CPU，每颗CPU核心数≥2</w:t>
            </w:r>
            <w:r>
              <w:rPr>
                <w:rFonts w:cs="宋体" w:asciiTheme="majorEastAsia" w:hAnsiTheme="majorEastAsia" w:eastAsiaTheme="majorEastAsia"/>
                <w:color w:val="auto"/>
                <w:kern w:val="0"/>
                <w:szCs w:val="21"/>
              </w:rPr>
              <w:t>0，主频</w:t>
            </w:r>
            <w:r>
              <w:rPr>
                <w:rFonts w:hint="eastAsia" w:cs="宋体" w:asciiTheme="majorEastAsia" w:hAnsiTheme="majorEastAsia" w:eastAsiaTheme="majorEastAsia"/>
                <w:color w:val="auto"/>
                <w:kern w:val="0"/>
                <w:szCs w:val="21"/>
              </w:rPr>
              <w:t>≥2</w:t>
            </w:r>
            <w:r>
              <w:rPr>
                <w:rFonts w:cs="宋体" w:asciiTheme="majorEastAsia" w:hAnsiTheme="majorEastAsia" w:eastAsiaTheme="majorEastAsia"/>
                <w:color w:val="auto"/>
                <w:kern w:val="0"/>
                <w:szCs w:val="21"/>
              </w:rPr>
              <w:t>.1GHz</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内存</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配置≥</w:t>
            </w:r>
            <w:r>
              <w:rPr>
                <w:rFonts w:hint="eastAsia" w:cs="宋体" w:asciiTheme="majorEastAsia" w:hAnsiTheme="majorEastAsia" w:eastAsiaTheme="majorEastAsia"/>
                <w:color w:val="auto"/>
                <w:kern w:val="0"/>
                <w:szCs w:val="21"/>
                <w:lang w:val="en-US" w:eastAsia="zh-CN"/>
              </w:rPr>
              <w:t>24</w:t>
            </w:r>
            <w:r>
              <w:rPr>
                <w:rFonts w:cs="宋体" w:asciiTheme="majorEastAsia" w:hAnsiTheme="majorEastAsia" w:eastAsiaTheme="majorEastAsia"/>
                <w:color w:val="auto"/>
                <w:kern w:val="0"/>
                <w:szCs w:val="21"/>
              </w:rPr>
              <w:t>条</w:t>
            </w:r>
            <w:r>
              <w:rPr>
                <w:rFonts w:hint="eastAsia" w:cs="宋体" w:asciiTheme="majorEastAsia" w:hAnsiTheme="majorEastAsia" w:eastAsiaTheme="majorEastAsia"/>
                <w:color w:val="auto"/>
                <w:kern w:val="0"/>
                <w:szCs w:val="21"/>
              </w:rPr>
              <w:t>3</w:t>
            </w:r>
            <w:r>
              <w:rPr>
                <w:rFonts w:cs="宋体" w:asciiTheme="majorEastAsia" w:hAnsiTheme="majorEastAsia" w:eastAsiaTheme="majorEastAsia"/>
                <w:color w:val="auto"/>
                <w:kern w:val="0"/>
                <w:szCs w:val="21"/>
              </w:rPr>
              <w:t xml:space="preserve">2GB RDIMM </w:t>
            </w:r>
            <w:r>
              <w:rPr>
                <w:rFonts w:hint="eastAsia" w:cs="宋体" w:asciiTheme="majorEastAsia" w:hAnsiTheme="majorEastAsia" w:eastAsiaTheme="majorEastAsia"/>
                <w:color w:val="auto"/>
                <w:kern w:val="0"/>
                <w:szCs w:val="21"/>
              </w:rPr>
              <w:t>2</w:t>
            </w:r>
            <w:r>
              <w:rPr>
                <w:rFonts w:cs="宋体" w:asciiTheme="majorEastAsia" w:hAnsiTheme="majorEastAsia" w:eastAsiaTheme="majorEastAsia"/>
                <w:color w:val="auto"/>
                <w:kern w:val="0"/>
                <w:szCs w:val="21"/>
              </w:rPr>
              <w:t>933</w:t>
            </w:r>
            <w:r>
              <w:rPr>
                <w:rFonts w:hint="eastAsia" w:cs="宋体" w:asciiTheme="majorEastAsia" w:hAnsiTheme="majorEastAsia" w:eastAsiaTheme="majorEastAsia"/>
                <w:color w:val="auto"/>
                <w:kern w:val="0"/>
                <w:szCs w:val="21"/>
              </w:rPr>
              <w:t>MT/s内存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内存扩展性</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支持≥24个内存插槽，支持Intel optane内存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硬盘</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配置≥</w:t>
            </w:r>
            <w:r>
              <w:rPr>
                <w:rFonts w:cs="宋体" w:asciiTheme="majorEastAsia" w:hAnsiTheme="majorEastAsia" w:eastAsiaTheme="majorEastAsia"/>
                <w:color w:val="auto"/>
                <w:kern w:val="0"/>
                <w:szCs w:val="21"/>
              </w:rPr>
              <w:t>2</w:t>
            </w:r>
            <w:r>
              <w:rPr>
                <w:rFonts w:hint="eastAsia" w:cs="宋体" w:asciiTheme="majorEastAsia" w:hAnsiTheme="majorEastAsia" w:eastAsiaTheme="majorEastAsia"/>
                <w:color w:val="auto"/>
                <w:kern w:val="0"/>
                <w:szCs w:val="21"/>
              </w:rPr>
              <w:t>个</w:t>
            </w:r>
            <w:r>
              <w:rPr>
                <w:rFonts w:cs="宋体" w:asciiTheme="majorEastAsia" w:hAnsiTheme="majorEastAsia" w:eastAsiaTheme="majorEastAsia"/>
                <w:color w:val="auto"/>
                <w:kern w:val="0"/>
                <w:szCs w:val="21"/>
              </w:rPr>
              <w:t>300GB</w:t>
            </w:r>
            <w:r>
              <w:rPr>
                <w:rFonts w:hint="eastAsia" w:cs="宋体" w:asciiTheme="majorEastAsia" w:hAnsiTheme="majorEastAsia" w:eastAsiaTheme="majorEastAsia"/>
                <w:color w:val="auto"/>
                <w:kern w:val="0"/>
                <w:szCs w:val="21"/>
              </w:rPr>
              <w:t xml:space="preserve"> </w:t>
            </w:r>
            <w:r>
              <w:rPr>
                <w:rFonts w:cs="宋体" w:asciiTheme="majorEastAsia" w:hAnsiTheme="majorEastAsia" w:eastAsiaTheme="majorEastAsia"/>
                <w:color w:val="auto"/>
                <w:kern w:val="0"/>
                <w:szCs w:val="21"/>
              </w:rPr>
              <w:t>15</w:t>
            </w:r>
            <w:r>
              <w:rPr>
                <w:rFonts w:hint="eastAsia" w:cs="宋体" w:asciiTheme="majorEastAsia" w:hAnsiTheme="majorEastAsia" w:eastAsiaTheme="majorEastAsia"/>
                <w:color w:val="auto"/>
                <w:kern w:val="0"/>
                <w:szCs w:val="21"/>
              </w:rPr>
              <w:t>K RPM SAS 12Gbps 2.5英寸热插拔硬盘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Raid卡</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配置≥1个12Gbps SAS Raid卡，配置≥</w:t>
            </w:r>
            <w:r>
              <w:rPr>
                <w:rFonts w:cs="宋体" w:asciiTheme="majorEastAsia" w:hAnsiTheme="majorEastAsia" w:eastAsiaTheme="majorEastAsia"/>
                <w:color w:val="auto"/>
                <w:kern w:val="0"/>
                <w:szCs w:val="21"/>
              </w:rPr>
              <w:t>8</w:t>
            </w:r>
            <w:r>
              <w:rPr>
                <w:rFonts w:hint="eastAsia" w:cs="宋体" w:asciiTheme="majorEastAsia" w:hAnsiTheme="majorEastAsia" w:eastAsiaTheme="majorEastAsia"/>
                <w:color w:val="auto"/>
                <w:kern w:val="0"/>
                <w:szCs w:val="21"/>
              </w:rPr>
              <w:t>GB NV Cache缓存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GPU</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支持≥</w:t>
            </w:r>
            <w:r>
              <w:rPr>
                <w:rFonts w:cs="宋体" w:asciiTheme="majorEastAsia" w:hAnsiTheme="majorEastAsia" w:eastAsiaTheme="majorEastAsia"/>
                <w:color w:val="auto"/>
                <w:kern w:val="0"/>
                <w:szCs w:val="21"/>
              </w:rPr>
              <w:t>3</w:t>
            </w:r>
            <w:r>
              <w:rPr>
                <w:rFonts w:hint="eastAsia" w:cs="宋体" w:asciiTheme="majorEastAsia" w:hAnsiTheme="majorEastAsia" w:eastAsiaTheme="majorEastAsia"/>
                <w:color w:val="auto"/>
                <w:kern w:val="0"/>
                <w:szCs w:val="21"/>
              </w:rPr>
              <w:t>个双宽GPU卡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网卡</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配置≥2个1GbE Base-T端口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网卡</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配置≥</w:t>
            </w:r>
            <w:r>
              <w:rPr>
                <w:rFonts w:cs="宋体" w:asciiTheme="majorEastAsia" w:hAnsiTheme="majorEastAsia" w:eastAsiaTheme="majorEastAsia"/>
                <w:color w:val="auto"/>
                <w:kern w:val="0"/>
                <w:szCs w:val="21"/>
              </w:rPr>
              <w:t>2</w:t>
            </w:r>
            <w:r>
              <w:rPr>
                <w:rFonts w:hint="eastAsia" w:cs="宋体" w:asciiTheme="majorEastAsia" w:hAnsiTheme="majorEastAsia" w:eastAsiaTheme="majorEastAsia"/>
                <w:color w:val="auto"/>
                <w:kern w:val="0"/>
                <w:szCs w:val="21"/>
              </w:rPr>
              <w:t>个10GbE SFP+双端口，含光纤收发器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HBA卡</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配置≥</w:t>
            </w:r>
            <w:r>
              <w:rPr>
                <w:rFonts w:cs="宋体" w:asciiTheme="majorEastAsia" w:hAnsiTheme="majorEastAsia" w:eastAsiaTheme="majorEastAsia"/>
                <w:color w:val="auto"/>
                <w:kern w:val="0"/>
                <w:szCs w:val="21"/>
              </w:rPr>
              <w:t>2</w:t>
            </w:r>
            <w:r>
              <w:rPr>
                <w:rFonts w:hint="eastAsia" w:cs="宋体" w:asciiTheme="majorEastAsia" w:hAnsiTheme="majorEastAsia" w:eastAsiaTheme="majorEastAsia"/>
                <w:color w:val="auto"/>
                <w:kern w:val="0"/>
                <w:szCs w:val="21"/>
              </w:rPr>
              <w:t>个单端口16Gb FC HBA卡，含光纤收发器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扩展插槽</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配置≥4个PCI-E x16插槽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电源类型</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配置≥2个</w:t>
            </w:r>
            <w:r>
              <w:rPr>
                <w:rFonts w:cs="宋体" w:asciiTheme="majorEastAsia" w:hAnsiTheme="majorEastAsia" w:eastAsiaTheme="majorEastAsia"/>
                <w:color w:val="auto"/>
                <w:kern w:val="0"/>
                <w:szCs w:val="21"/>
              </w:rPr>
              <w:t>75</w:t>
            </w:r>
            <w:r>
              <w:rPr>
                <w:rFonts w:hint="eastAsia" w:cs="宋体" w:asciiTheme="majorEastAsia" w:hAnsiTheme="majorEastAsia" w:eastAsiaTheme="majorEastAsia"/>
                <w:color w:val="auto"/>
                <w:kern w:val="0"/>
                <w:szCs w:val="21"/>
              </w:rPr>
              <w:t>0W 80PLUS白金级能效热插拔电源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其他端口</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配置≥2个VGA视频端口、≥4个USB鼠标键盘接口、≥1个micro-usb管理端口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面板</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配置交互式LCD液晶面板，配置前置安全锁，防止意外或恶意触碰电源按钮、光驱、硬盘等组件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远程管理</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配置远程管理模块，支持中文图形界面管理，支持虚拟控制台、虚拟光驱、功率管理、BIOS固件更新、网卡固件更新、Raid卡固件更新；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远程控制台</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远程管理模块提供远程虚拟控制台，支持本地插件、JAVA、HTML5等方式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数据保护</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配置针对VMware虚拟化环境下虚拟机的连续数据保护软件，可以对指定的虚拟机进行IO级别的数据录像功能，被保护虚拟机可回滚到任一时点。软件授权数量≥</w:t>
            </w:r>
            <w:r>
              <w:rPr>
                <w:rFonts w:cs="宋体" w:asciiTheme="majorEastAsia" w:hAnsiTheme="majorEastAsia" w:eastAsiaTheme="majorEastAsia"/>
                <w:color w:val="auto"/>
                <w:kern w:val="0"/>
                <w:szCs w:val="21"/>
              </w:rPr>
              <w:t>3</w:t>
            </w:r>
            <w:r>
              <w:rPr>
                <w:rFonts w:hint="eastAsia" w:cs="宋体" w:asciiTheme="majorEastAsia" w:hAnsiTheme="majorEastAsia" w:eastAsiaTheme="majorEastAsia"/>
                <w:color w:val="auto"/>
                <w:kern w:val="0"/>
                <w:szCs w:val="21"/>
              </w:rPr>
              <w:t>个虚拟机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移动管理</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支持非接触式管理模块，支持手机、平板通过WiFi、蓝牙等方式管理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主动式运维</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配置原厂售后管理软件，支持远程监控、自动收集设备日志，设备故障无须拨打售后电话，自动通过网络上传故障告警，原厂主动联系用户进行故障调试，加快故障解决速度。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运行报表</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质保期内配置一年一次原厂工程师上门性能分析服务，支持分析CPU、内存、IOPS、带宽等负载情况，并出具原厂性能分析报告。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服务保证</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原厂商3年7x24小时维保服务，原厂正品及技术支持服务，支持产品官网基于服务编号在线查询产品出厂配置和质保期满足招标要求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vAlign w:val="center"/>
          </w:tcPr>
          <w:p>
            <w:pPr>
              <w:widowControl/>
              <w:jc w:val="center"/>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厂商资质</w:t>
            </w:r>
          </w:p>
        </w:tc>
        <w:tc>
          <w:tcPr>
            <w:tcW w:w="8930" w:type="dxa"/>
            <w:vAlign w:val="center"/>
          </w:tcPr>
          <w:p>
            <w:pPr>
              <w:widowControl/>
              <w:jc w:val="left"/>
              <w:rPr>
                <w:rFonts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原厂商通过ISO9001、ISO14001、ISO20000、ISO27001及CCCS认证，提供证书</w:t>
            </w:r>
          </w:p>
        </w:tc>
      </w:tr>
    </w:tbl>
    <w:p>
      <w:pPr>
        <w:pStyle w:val="2"/>
        <w:adjustRightInd w:val="0"/>
        <w:snapToGrid w:val="0"/>
        <w:spacing w:line="400" w:lineRule="exact"/>
        <w:ind w:firstLine="210" w:firstLineChars="100"/>
      </w:pPr>
    </w:p>
    <w:p>
      <w:pPr>
        <w:pStyle w:val="2"/>
        <w:adjustRightInd w:val="0"/>
        <w:snapToGrid w:val="0"/>
        <w:spacing w:line="400" w:lineRule="exact"/>
        <w:ind w:firstLine="211" w:firstLineChars="100"/>
        <w:rPr>
          <w:rFonts w:hint="eastAsia"/>
          <w:b/>
        </w:rPr>
      </w:pPr>
      <w:r>
        <w:rPr>
          <w:rFonts w:hint="eastAsia"/>
          <w:b/>
        </w:rPr>
        <w:t>商务要求</w:t>
      </w:r>
    </w:p>
    <w:p>
      <w:pPr>
        <w:pStyle w:val="2"/>
        <w:adjustRightInd w:val="0"/>
        <w:snapToGrid w:val="0"/>
        <w:spacing w:line="400" w:lineRule="exact"/>
        <w:ind w:firstLine="210" w:firstLineChars="100"/>
        <w:rPr>
          <w:rFonts w:hint="eastAsia"/>
        </w:rPr>
      </w:pPr>
      <w:r>
        <w:rPr>
          <w:rFonts w:hint="eastAsia"/>
        </w:rPr>
        <w:t>服务器厂商在项目实施地点有售后服务网点，能提供本地化服务。</w:t>
      </w:r>
    </w:p>
    <w:p>
      <w:pPr>
        <w:pStyle w:val="2"/>
        <w:adjustRightInd w:val="0"/>
        <w:snapToGrid w:val="0"/>
        <w:spacing w:line="400" w:lineRule="exact"/>
        <w:ind w:firstLine="210" w:firstLineChars="100"/>
      </w:pPr>
    </w:p>
    <w:p>
      <w:pPr>
        <w:pStyle w:val="2"/>
        <w:adjustRightInd w:val="0"/>
        <w:snapToGrid w:val="0"/>
        <w:spacing w:line="400" w:lineRule="exact"/>
        <w:ind w:firstLine="210" w:firstLineChars="100"/>
      </w:pPr>
    </w:p>
    <w:p>
      <w:pPr>
        <w:pStyle w:val="2"/>
        <w:adjustRightInd w:val="0"/>
        <w:snapToGrid w:val="0"/>
        <w:spacing w:line="400" w:lineRule="exact"/>
        <w:ind w:firstLine="211" w:firstLineChars="100"/>
        <w:rPr>
          <w:rFonts w:hint="eastAsia"/>
          <w:b/>
        </w:rPr>
      </w:pPr>
      <w:r>
        <w:rPr>
          <w:rFonts w:hint="eastAsia"/>
          <w:b/>
        </w:rPr>
        <w:t>集成服务要求</w:t>
      </w:r>
    </w:p>
    <w:p>
      <w:pPr>
        <w:pStyle w:val="2"/>
        <w:adjustRightInd w:val="0"/>
        <w:snapToGrid w:val="0"/>
        <w:spacing w:line="400" w:lineRule="exact"/>
        <w:ind w:firstLine="210" w:firstLineChars="100"/>
        <w:rPr>
          <w:rFonts w:hint="eastAsia"/>
        </w:rPr>
      </w:pPr>
      <w:r>
        <w:rPr>
          <w:rFonts w:hint="eastAsia"/>
        </w:rPr>
        <w:t>投标人应根据本项目的具体需要，提供合理的集成方案，并完成整个项目的集成工作，详细包括：</w:t>
      </w:r>
    </w:p>
    <w:p>
      <w:pPr>
        <w:pStyle w:val="2"/>
        <w:adjustRightInd w:val="0"/>
        <w:snapToGrid w:val="0"/>
        <w:spacing w:line="400" w:lineRule="exact"/>
        <w:ind w:firstLine="210" w:firstLineChars="100"/>
        <w:rPr>
          <w:rFonts w:hint="eastAsia"/>
        </w:rPr>
      </w:pPr>
      <w:r>
        <w:rPr>
          <w:rFonts w:hint="eastAsia"/>
        </w:rPr>
        <w:t>1)</w:t>
      </w:r>
      <w:r>
        <w:rPr>
          <w:rFonts w:hint="eastAsia"/>
        </w:rPr>
        <w:tab/>
      </w:r>
      <w:r>
        <w:rPr>
          <w:rFonts w:hint="eastAsia"/>
        </w:rPr>
        <w:t>制定系统集成方案，方案中包括设备的安装、部署与规划方案。</w:t>
      </w:r>
    </w:p>
    <w:p>
      <w:pPr>
        <w:pStyle w:val="2"/>
        <w:adjustRightInd w:val="0"/>
        <w:snapToGrid w:val="0"/>
        <w:spacing w:line="400" w:lineRule="exact"/>
        <w:ind w:firstLine="210" w:firstLineChars="100"/>
        <w:rPr>
          <w:rFonts w:hint="eastAsia"/>
        </w:rPr>
      </w:pPr>
      <w:r>
        <w:rPr>
          <w:rFonts w:hint="eastAsia"/>
        </w:rPr>
        <w:t>2)</w:t>
      </w:r>
      <w:r>
        <w:rPr>
          <w:rFonts w:hint="eastAsia"/>
        </w:rPr>
        <w:tab/>
      </w:r>
      <w:r>
        <w:rPr>
          <w:rFonts w:hint="eastAsia"/>
        </w:rPr>
        <w:t>提供详细的项目实施方案，其内容包括但不限于：工作界面划分、项目进度安排、项目组人员配备、项目管理方案等内容；</w:t>
      </w:r>
    </w:p>
    <w:p>
      <w:pPr>
        <w:pStyle w:val="2"/>
        <w:adjustRightInd w:val="0"/>
        <w:snapToGrid w:val="0"/>
        <w:spacing w:line="400" w:lineRule="exact"/>
        <w:ind w:firstLine="210" w:firstLineChars="100"/>
      </w:pPr>
      <w:r>
        <w:rPr>
          <w:rFonts w:hint="eastAsia"/>
        </w:rPr>
        <w:t>3)</w:t>
      </w:r>
      <w:r>
        <w:rPr>
          <w:rFonts w:hint="eastAsia"/>
        </w:rPr>
        <w:tab/>
      </w:r>
      <w:r>
        <w:rPr>
          <w:rFonts w:hint="eastAsia"/>
        </w:rPr>
        <w:t>完成全部硬件产品的安装与调试工作，包括设备安装、上架、加电等；</w:t>
      </w:r>
    </w:p>
    <w:p>
      <w:pPr>
        <w:pStyle w:val="2"/>
        <w:adjustRightInd w:val="0"/>
        <w:snapToGrid w:val="0"/>
        <w:spacing w:line="400" w:lineRule="exact"/>
        <w:ind w:firstLine="210" w:firstLineChars="100"/>
      </w:pPr>
    </w:p>
    <w:p>
      <w:pPr>
        <w:pStyle w:val="2"/>
        <w:adjustRightInd w:val="0"/>
        <w:snapToGrid w:val="0"/>
        <w:spacing w:line="400" w:lineRule="exact"/>
        <w:ind w:firstLine="210" w:firstLineChars="100"/>
      </w:pPr>
    </w:p>
    <w:p>
      <w:pPr>
        <w:pStyle w:val="2"/>
        <w:adjustRightInd w:val="0"/>
        <w:snapToGrid w:val="0"/>
        <w:spacing w:line="400" w:lineRule="exact"/>
        <w:ind w:firstLine="211" w:firstLineChars="100"/>
        <w:rPr>
          <w:rFonts w:hint="eastAsia"/>
          <w:b/>
        </w:rPr>
      </w:pPr>
      <w:r>
        <w:rPr>
          <w:rFonts w:hint="eastAsia"/>
          <w:b/>
        </w:rPr>
        <w:t>人员资格要求</w:t>
      </w:r>
    </w:p>
    <w:p>
      <w:pPr>
        <w:pStyle w:val="2"/>
        <w:adjustRightInd w:val="0"/>
        <w:snapToGrid w:val="0"/>
        <w:spacing w:line="400" w:lineRule="exact"/>
        <w:ind w:firstLine="210" w:firstLineChars="100"/>
        <w:rPr>
          <w:rFonts w:hint="eastAsia"/>
        </w:rPr>
      </w:pPr>
      <w:r>
        <w:rPr>
          <w:rFonts w:hint="eastAsia"/>
        </w:rPr>
        <w:t>1)</w:t>
      </w:r>
      <w:r>
        <w:rPr>
          <w:rFonts w:hint="eastAsia"/>
        </w:rPr>
        <w:tab/>
      </w:r>
      <w:r>
        <w:rPr>
          <w:rFonts w:hint="eastAsia"/>
        </w:rPr>
        <w:t>投标人需为本项目设立专门的项目组，其中项目经理是本项目的总负责人，项目技术负责人是本项目技术规划、设计、实施的具体负责人。</w:t>
      </w:r>
    </w:p>
    <w:p>
      <w:pPr>
        <w:pStyle w:val="2"/>
        <w:adjustRightInd w:val="0"/>
        <w:snapToGrid w:val="0"/>
        <w:spacing w:line="400" w:lineRule="exact"/>
        <w:ind w:firstLine="210" w:firstLineChars="100"/>
        <w:rPr>
          <w:rFonts w:hint="eastAsia"/>
        </w:rPr>
      </w:pPr>
      <w:r>
        <w:rPr>
          <w:rFonts w:hint="eastAsia"/>
        </w:rPr>
        <w:t>2)</w:t>
      </w:r>
      <w:r>
        <w:rPr>
          <w:rFonts w:hint="eastAsia"/>
        </w:rPr>
        <w:tab/>
      </w:r>
      <w:r>
        <w:rPr>
          <w:rFonts w:hint="eastAsia"/>
        </w:rPr>
        <w:t>项目经理具有信息系统项目管理师（高级）资质证书。</w:t>
      </w:r>
    </w:p>
    <w:p>
      <w:pPr>
        <w:pStyle w:val="2"/>
        <w:adjustRightInd w:val="0"/>
        <w:snapToGrid w:val="0"/>
        <w:spacing w:line="400" w:lineRule="exact"/>
        <w:ind w:firstLine="210" w:firstLineChars="100"/>
        <w:rPr>
          <w:rFonts w:hint="eastAsia"/>
        </w:rPr>
      </w:pPr>
      <w:r>
        <w:rPr>
          <w:rFonts w:hint="eastAsia"/>
        </w:rPr>
        <w:t>3)</w:t>
      </w:r>
      <w:r>
        <w:rPr>
          <w:rFonts w:hint="eastAsia"/>
        </w:rPr>
        <w:tab/>
      </w:r>
      <w:r>
        <w:rPr>
          <w:rFonts w:hint="eastAsia"/>
        </w:rPr>
        <w:t>投标人应明确项目经理和技术负责人在本项目中的岗位职责、任职资格及管理权限，并明确其调动相关资源的权力，以确保工程顺利实施。</w:t>
      </w:r>
    </w:p>
    <w:p>
      <w:pPr>
        <w:pStyle w:val="2"/>
        <w:adjustRightInd w:val="0"/>
        <w:snapToGrid w:val="0"/>
        <w:spacing w:line="400" w:lineRule="exact"/>
        <w:ind w:firstLine="210" w:firstLineChars="100"/>
        <w:rPr>
          <w:rFonts w:hint="eastAsia"/>
        </w:rPr>
        <w:sectPr>
          <w:pgSz w:w="11906" w:h="16838"/>
          <w:pgMar w:top="1440" w:right="1800" w:bottom="1440" w:left="1800" w:header="851" w:footer="992" w:gutter="0"/>
          <w:cols w:space="425" w:num="1"/>
          <w:docGrid w:type="lines" w:linePitch="312" w:charSpace="0"/>
        </w:sectPr>
      </w:pPr>
      <w:r>
        <w:rPr>
          <w:rFonts w:hint="eastAsia"/>
        </w:rPr>
        <w:t>4)</w:t>
      </w:r>
      <w:r>
        <w:rPr>
          <w:rFonts w:hint="eastAsia"/>
        </w:rPr>
        <w:tab/>
      </w:r>
      <w:r>
        <w:rPr>
          <w:rFonts w:hint="eastAsia"/>
        </w:rPr>
        <w:t>项目组技术人员两名，具有相关项目集成经验。</w:t>
      </w:r>
    </w:p>
    <w:tbl>
      <w:tblPr>
        <w:tblStyle w:val="6"/>
        <w:tblpPr w:leftFromText="180" w:rightFromText="180" w:vertAnchor="text" w:horzAnchor="page" w:tblpX="1847" w:tblpY="433"/>
        <w:tblOverlap w:val="never"/>
        <w:tblW w:w="8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709"/>
        <w:gridCol w:w="1777"/>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7" w:hRule="atLeast"/>
        </w:trPr>
        <w:tc>
          <w:tcPr>
            <w:tcW w:w="562" w:type="dxa"/>
            <w:shd w:val="clear" w:color="000000" w:fill="A6A6A6"/>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序号</w:t>
            </w:r>
          </w:p>
        </w:tc>
        <w:tc>
          <w:tcPr>
            <w:tcW w:w="709" w:type="dxa"/>
            <w:shd w:val="clear" w:color="000000" w:fill="A6A6A6"/>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重要性</w:t>
            </w:r>
          </w:p>
        </w:tc>
        <w:tc>
          <w:tcPr>
            <w:tcW w:w="1777" w:type="dxa"/>
            <w:shd w:val="clear" w:color="000000" w:fill="A6A6A6"/>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指标项</w:t>
            </w:r>
          </w:p>
        </w:tc>
        <w:tc>
          <w:tcPr>
            <w:tcW w:w="5207" w:type="dxa"/>
            <w:shd w:val="clear" w:color="000000" w:fill="A6A6A6"/>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7" w:hRule="atLeast"/>
        </w:trPr>
        <w:tc>
          <w:tcPr>
            <w:tcW w:w="562" w:type="dxa"/>
            <w:shd w:val="clear" w:color="auto" w:fill="auto"/>
            <w:vAlign w:val="center"/>
          </w:tcPr>
          <w:p>
            <w:pPr>
              <w:pStyle w:val="11"/>
              <w:widowControl/>
              <w:numPr>
                <w:ilvl w:val="0"/>
                <w:numId w:val="1"/>
              </w:numPr>
              <w:ind w:firstLineChars="0"/>
              <w:rPr>
                <w:rFonts w:cs="宋体" w:asciiTheme="majorEastAsia" w:hAnsiTheme="majorEastAsia" w:eastAsiaTheme="majorEastAsia"/>
                <w:color w:val="000000"/>
                <w:kern w:val="0"/>
                <w:szCs w:val="21"/>
              </w:rPr>
            </w:pPr>
          </w:p>
        </w:tc>
        <w:tc>
          <w:tcPr>
            <w:tcW w:w="709" w:type="dxa"/>
            <w:shd w:val="clear" w:color="auto" w:fill="auto"/>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w:t>
            </w:r>
          </w:p>
        </w:tc>
        <w:tc>
          <w:tcPr>
            <w:tcW w:w="1777" w:type="dxa"/>
            <w:shd w:val="clear" w:color="auto" w:fill="auto"/>
            <w:vAlign w:val="center"/>
          </w:tcPr>
          <w:p>
            <w:pPr>
              <w:widowControl/>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HBA卡</w:t>
            </w:r>
            <w:r>
              <w:rPr>
                <w:rFonts w:hint="eastAsia" w:cs="宋体" w:asciiTheme="majorEastAsia" w:hAnsiTheme="majorEastAsia" w:eastAsiaTheme="majorEastAsia"/>
                <w:color w:val="000000"/>
                <w:kern w:val="0"/>
                <w:szCs w:val="21"/>
                <w:lang w:val="en-US" w:eastAsia="zh-CN"/>
              </w:rPr>
              <w:t>*6</w:t>
            </w:r>
          </w:p>
        </w:tc>
        <w:tc>
          <w:tcPr>
            <w:tcW w:w="5207" w:type="dxa"/>
            <w:shd w:val="clear" w:color="auto" w:fill="auto"/>
            <w:vAlign w:val="center"/>
          </w:tcPr>
          <w:p>
            <w:pPr>
              <w:widowControl/>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auto"/>
                <w:kern w:val="0"/>
                <w:szCs w:val="21"/>
              </w:rPr>
              <w:t>单端口16Gb FC 光纤HBA卡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7" w:hRule="atLeast"/>
        </w:trPr>
        <w:tc>
          <w:tcPr>
            <w:tcW w:w="562" w:type="dxa"/>
            <w:shd w:val="clear" w:color="auto" w:fill="auto"/>
            <w:vAlign w:val="center"/>
          </w:tcPr>
          <w:p>
            <w:pPr>
              <w:pStyle w:val="11"/>
              <w:widowControl/>
              <w:numPr>
                <w:ilvl w:val="0"/>
                <w:numId w:val="1"/>
              </w:numPr>
              <w:ind w:firstLineChars="0"/>
              <w:rPr>
                <w:rFonts w:cs="宋体" w:asciiTheme="majorEastAsia" w:hAnsiTheme="majorEastAsia" w:eastAsiaTheme="majorEastAsia"/>
                <w:color w:val="000000"/>
                <w:kern w:val="0"/>
                <w:szCs w:val="21"/>
              </w:rPr>
            </w:pPr>
          </w:p>
        </w:tc>
        <w:tc>
          <w:tcPr>
            <w:tcW w:w="709" w:type="dxa"/>
            <w:shd w:val="clear" w:color="auto" w:fill="auto"/>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w:t>
            </w:r>
          </w:p>
        </w:tc>
        <w:tc>
          <w:tcPr>
            <w:tcW w:w="1777" w:type="dxa"/>
            <w:shd w:val="clear" w:color="auto" w:fill="auto"/>
            <w:vAlign w:val="center"/>
          </w:tcPr>
          <w:p>
            <w:pPr>
              <w:widowControl/>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内存</w:t>
            </w:r>
            <w:r>
              <w:rPr>
                <w:rFonts w:hint="eastAsia" w:cs="宋体" w:asciiTheme="majorEastAsia" w:hAnsiTheme="majorEastAsia" w:eastAsiaTheme="majorEastAsia"/>
                <w:color w:val="000000"/>
                <w:kern w:val="0"/>
                <w:szCs w:val="21"/>
                <w:lang w:val="en-US" w:eastAsia="zh-CN"/>
              </w:rPr>
              <w:t>*30</w:t>
            </w:r>
          </w:p>
        </w:tc>
        <w:tc>
          <w:tcPr>
            <w:tcW w:w="5207" w:type="dxa"/>
            <w:shd w:val="clear" w:color="auto" w:fill="auto"/>
            <w:vAlign w:val="center"/>
          </w:tcPr>
          <w:p>
            <w:pPr>
              <w:widowControl/>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auto"/>
                <w:kern w:val="0"/>
                <w:szCs w:val="21"/>
              </w:rPr>
              <w:t>3</w:t>
            </w:r>
            <w:r>
              <w:rPr>
                <w:rFonts w:cs="宋体" w:asciiTheme="majorEastAsia" w:hAnsiTheme="majorEastAsia" w:eastAsiaTheme="majorEastAsia"/>
                <w:color w:val="auto"/>
                <w:kern w:val="0"/>
                <w:szCs w:val="21"/>
              </w:rPr>
              <w:t xml:space="preserve">2GB RDIMM </w:t>
            </w:r>
            <w:r>
              <w:rPr>
                <w:rFonts w:hint="eastAsia" w:cs="宋体" w:asciiTheme="majorEastAsia" w:hAnsiTheme="majorEastAsia" w:eastAsiaTheme="majorEastAsia"/>
                <w:color w:val="auto"/>
                <w:kern w:val="0"/>
                <w:szCs w:val="21"/>
              </w:rPr>
              <w:t>2</w:t>
            </w:r>
            <w:r>
              <w:rPr>
                <w:rFonts w:cs="宋体" w:asciiTheme="majorEastAsia" w:hAnsiTheme="majorEastAsia" w:eastAsiaTheme="majorEastAsia"/>
                <w:color w:val="auto"/>
                <w:kern w:val="0"/>
                <w:szCs w:val="21"/>
              </w:rPr>
              <w:t>933</w:t>
            </w:r>
            <w:r>
              <w:rPr>
                <w:rFonts w:hint="eastAsia" w:cs="宋体" w:asciiTheme="majorEastAsia" w:hAnsiTheme="majorEastAsia" w:eastAsiaTheme="majorEastAsia"/>
                <w:color w:val="auto"/>
                <w:kern w:val="0"/>
                <w:szCs w:val="21"/>
              </w:rPr>
              <w:t>MT/s内存</w:t>
            </w:r>
          </w:p>
        </w:tc>
      </w:tr>
    </w:tbl>
    <w:p>
      <w:pPr>
        <w:rPr>
          <w:rFonts w:hint="eastAsia"/>
        </w:rPr>
      </w:pPr>
      <w:r>
        <w:rPr>
          <w:rFonts w:hint="eastAsia"/>
        </w:rPr>
        <w:t>服务器配件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等线 Light">
    <w:altName w:val="Arial Unicode MS"/>
    <w:panose1 w:val="00000000000000000000"/>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753AC"/>
    <w:multiLevelType w:val="multilevel"/>
    <w:tmpl w:val="469753AC"/>
    <w:lvl w:ilvl="0" w:tentative="0">
      <w:start w:val="1"/>
      <w:numFmt w:val="decimal"/>
      <w:lvlText w:val="%1."/>
      <w:lvlJc w:val="left"/>
      <w:pPr>
        <w:ind w:left="632" w:hanging="420"/>
      </w:pPr>
    </w:lvl>
    <w:lvl w:ilvl="1" w:tentative="0">
      <w:start w:val="1"/>
      <w:numFmt w:val="lowerLetter"/>
      <w:lvlText w:val="%2)"/>
      <w:lvlJc w:val="left"/>
      <w:pPr>
        <w:ind w:left="1052" w:hanging="420"/>
      </w:pPr>
    </w:lvl>
    <w:lvl w:ilvl="2" w:tentative="0">
      <w:start w:val="1"/>
      <w:numFmt w:val="lowerRoman"/>
      <w:lvlText w:val="%3."/>
      <w:lvlJc w:val="right"/>
      <w:pPr>
        <w:ind w:left="1472" w:hanging="420"/>
      </w:pPr>
    </w:lvl>
    <w:lvl w:ilvl="3" w:tentative="0">
      <w:start w:val="1"/>
      <w:numFmt w:val="decimal"/>
      <w:lvlText w:val="%4."/>
      <w:lvlJc w:val="left"/>
      <w:pPr>
        <w:ind w:left="1892" w:hanging="420"/>
      </w:pPr>
    </w:lvl>
    <w:lvl w:ilvl="4" w:tentative="0">
      <w:start w:val="1"/>
      <w:numFmt w:val="lowerLetter"/>
      <w:lvlText w:val="%5)"/>
      <w:lvlJc w:val="left"/>
      <w:pPr>
        <w:ind w:left="2312" w:hanging="420"/>
      </w:pPr>
    </w:lvl>
    <w:lvl w:ilvl="5" w:tentative="0">
      <w:start w:val="1"/>
      <w:numFmt w:val="lowerRoman"/>
      <w:lvlText w:val="%6."/>
      <w:lvlJc w:val="right"/>
      <w:pPr>
        <w:ind w:left="2732" w:hanging="420"/>
      </w:pPr>
    </w:lvl>
    <w:lvl w:ilvl="6" w:tentative="0">
      <w:start w:val="1"/>
      <w:numFmt w:val="decimal"/>
      <w:lvlText w:val="%7."/>
      <w:lvlJc w:val="left"/>
      <w:pPr>
        <w:ind w:left="3152" w:hanging="420"/>
      </w:pPr>
    </w:lvl>
    <w:lvl w:ilvl="7" w:tentative="0">
      <w:start w:val="1"/>
      <w:numFmt w:val="lowerLetter"/>
      <w:lvlText w:val="%8)"/>
      <w:lvlJc w:val="left"/>
      <w:pPr>
        <w:ind w:left="3572" w:hanging="420"/>
      </w:pPr>
    </w:lvl>
    <w:lvl w:ilvl="8" w:tentative="0">
      <w:start w:val="1"/>
      <w:numFmt w:val="lowerRoman"/>
      <w:lvlText w:val="%9."/>
      <w:lvlJc w:val="right"/>
      <w:pPr>
        <w:ind w:left="39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89"/>
    <w:rsid w:val="00121C9C"/>
    <w:rsid w:val="001D0989"/>
    <w:rsid w:val="00250333"/>
    <w:rsid w:val="00257F32"/>
    <w:rsid w:val="00453950"/>
    <w:rsid w:val="004F1B06"/>
    <w:rsid w:val="00663589"/>
    <w:rsid w:val="00960F74"/>
    <w:rsid w:val="00C57EF2"/>
    <w:rsid w:val="00D03300"/>
    <w:rsid w:val="00D52AF6"/>
    <w:rsid w:val="00DC2F20"/>
    <w:rsid w:val="00DC6440"/>
    <w:rsid w:val="1BAD7260"/>
    <w:rsid w:val="39170857"/>
    <w:rsid w:val="71450D7C"/>
    <w:rsid w:val="7C685CB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7"/>
    <w:qFormat/>
    <w:uiPriority w:val="0"/>
    <w:rPr>
      <w:rFonts w:ascii="宋体" w:hAnsi="Courier New" w:eastAsia="宋体"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5"/>
    <w:link w:val="2"/>
    <w:qFormat/>
    <w:uiPriority w:val="0"/>
    <w:rPr>
      <w:rFonts w:ascii="宋体" w:hAnsi="Courier New" w:eastAsia="宋体" w:cs="Courier New"/>
      <w:szCs w:val="21"/>
    </w:rPr>
  </w:style>
  <w:style w:type="paragraph" w:customStyle="1" w:styleId="8">
    <w:name w:val="样式2"/>
    <w:basedOn w:val="1"/>
    <w:qFormat/>
    <w:uiPriority w:val="99"/>
    <w:pPr>
      <w:spacing w:line="300" w:lineRule="auto"/>
      <w:jc w:val="center"/>
      <w:outlineLvl w:val="0"/>
    </w:pPr>
    <w:rPr>
      <w:rFonts w:ascii="宋体" w:hAnsi="Times New Roman" w:eastAsia="宋体" w:cs="Times New Roman"/>
      <w:b/>
      <w:kern w:val="0"/>
      <w:sz w:val="24"/>
      <w:szCs w:val="20"/>
    </w:r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214</Words>
  <Characters>1224</Characters>
  <Lines>10</Lines>
  <Paragraphs>2</Paragraphs>
  <ScaleCrop>false</ScaleCrop>
  <LinksUpToDate>false</LinksUpToDate>
  <CharactersWithSpaces>1436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2020-06-24T07:13:00Z</dcterms:created>
  <dc:creator>LTC</dc:creator>
  <cp:lastModifiedBy>张淞鸿</cp:lastModifiedBy>
  <cp:lastPrinted>2020-07-03T07:55:00Z</cp:lastPrinted>
  <dcterms:modified xsi:type="dcterms:W3CDTF">2020-11-25T09:01:16Z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