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56"/>
          <w:szCs w:val="36"/>
        </w:rPr>
      </w:pPr>
      <w:r>
        <w:rPr>
          <w:rFonts w:hint="eastAsia" w:ascii="宋体" w:hAnsi="宋体"/>
          <w:b/>
          <w:sz w:val="56"/>
          <w:szCs w:val="36"/>
        </w:rPr>
        <w:t>北京清华长庚医院</w:t>
      </w:r>
    </w:p>
    <w:p>
      <w:pPr>
        <w:ind w:firstLine="0" w:firstLineChars="0"/>
        <w:jc w:val="center"/>
        <w:rPr>
          <w:rFonts w:ascii="宋体" w:hAnsi="宋体"/>
          <w:b/>
          <w:sz w:val="56"/>
          <w:szCs w:val="36"/>
        </w:rPr>
      </w:pPr>
    </w:p>
    <w:p>
      <w:pPr>
        <w:ind w:firstLine="0" w:firstLineChars="0"/>
        <w:jc w:val="center"/>
        <w:rPr>
          <w:rFonts w:ascii="宋体" w:hAnsi="宋体"/>
          <w:b/>
          <w:sz w:val="56"/>
          <w:szCs w:val="36"/>
        </w:rPr>
      </w:pPr>
      <w:r>
        <w:rPr>
          <w:rFonts w:hint="eastAsia" w:ascii="宋体" w:hAnsi="宋体"/>
          <w:b/>
          <w:sz w:val="56"/>
          <w:szCs w:val="36"/>
        </w:rPr>
        <w:t>急诊风除室改造工程</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480"/>
        <w:jc w:val="center"/>
        <w:rPr>
          <w:rFonts w:ascii="宋体" w:hAnsi="宋体"/>
          <w:sz w:val="24"/>
        </w:rPr>
      </w:pPr>
    </w:p>
    <w:p>
      <w:pPr>
        <w:adjustRightInd w:val="0"/>
        <w:snapToGrid w:val="0"/>
        <w:ind w:firstLine="480"/>
        <w:jc w:val="center"/>
        <w:rPr>
          <w:rFonts w:ascii="宋体" w:hAnsi="宋体"/>
          <w:sz w:val="24"/>
        </w:rPr>
      </w:pP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sz w:val="32"/>
          <w:szCs w:val="32"/>
          <w:u w:val="single"/>
        </w:rPr>
      </w:pPr>
      <w:r>
        <w:rPr>
          <w:rFonts w:hint="eastAsia" w:ascii="宋体" w:hAnsi="宋体"/>
          <w:b/>
          <w:sz w:val="32"/>
          <w:szCs w:val="32"/>
        </w:rPr>
        <w:t>招标编号：</w:t>
      </w:r>
      <w:r>
        <w:rPr>
          <w:rFonts w:hint="eastAsia" w:ascii="宋体" w:hAnsi="宋体"/>
          <w:b/>
          <w:color w:val="FF0000"/>
          <w:sz w:val="32"/>
          <w:szCs w:val="32"/>
          <w:highlight w:val="yellow"/>
        </w:rPr>
        <w:t>清</w:t>
      </w:r>
      <w:r>
        <w:rPr>
          <w:rFonts w:ascii="宋体" w:hAnsi="宋体"/>
          <w:b/>
          <w:color w:val="FF0000"/>
          <w:sz w:val="32"/>
          <w:szCs w:val="32"/>
          <w:highlight w:val="yellow"/>
        </w:rPr>
        <w:t>庚</w:t>
      </w:r>
      <w:r>
        <w:rPr>
          <w:rFonts w:hint="eastAsia" w:ascii="宋体" w:hAnsi="宋体"/>
          <w:b/>
          <w:color w:val="FF0000"/>
          <w:sz w:val="32"/>
          <w:szCs w:val="32"/>
          <w:highlight w:val="yellow"/>
        </w:rPr>
        <w:t>工</w:t>
      </w:r>
      <w:r>
        <w:rPr>
          <w:rFonts w:ascii="宋体" w:hAnsi="宋体"/>
          <w:b/>
          <w:color w:val="FF0000"/>
          <w:sz w:val="32"/>
          <w:szCs w:val="32"/>
          <w:highlight w:val="yellow"/>
        </w:rPr>
        <w:t>招</w:t>
      </w:r>
      <w:r>
        <w:rPr>
          <w:rFonts w:hint="eastAsia" w:ascii="宋体" w:hAnsi="宋体"/>
          <w:b/>
          <w:color w:val="FF0000"/>
          <w:sz w:val="32"/>
          <w:szCs w:val="32"/>
          <w:highlight w:val="yellow"/>
        </w:rPr>
        <w:t>20</w:t>
      </w:r>
      <w:r>
        <w:rPr>
          <w:rFonts w:ascii="宋体" w:hAnsi="宋体"/>
          <w:b/>
          <w:color w:val="FF0000"/>
          <w:sz w:val="32"/>
          <w:szCs w:val="32"/>
          <w:highlight w:val="yellow"/>
        </w:rPr>
        <w:t>20</w:t>
      </w:r>
      <w:r>
        <w:rPr>
          <w:rFonts w:hint="eastAsia" w:ascii="宋体" w:hAnsi="宋体"/>
          <w:b/>
          <w:color w:val="FF0000"/>
          <w:sz w:val="32"/>
          <w:szCs w:val="32"/>
          <w:highlight w:val="yellow"/>
        </w:rPr>
        <w:t>号</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二○二○年</w:t>
      </w:r>
      <w:r>
        <w:rPr>
          <w:rFonts w:hint="eastAsia" w:ascii="宋体" w:hAnsi="宋体"/>
          <w:sz w:val="32"/>
          <w:u w:val="single"/>
        </w:rPr>
        <w:t>九</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3"/>
      </w:pPr>
      <w:bookmarkStart w:id="2" w:name="_Toc138740207"/>
      <w:bookmarkStart w:id="3" w:name="_Toc395611378"/>
      <w:r>
        <w:rPr>
          <w:rFonts w:hint="eastAsia"/>
        </w:rPr>
        <w:t>投标须知前附表</w:t>
      </w:r>
      <w:bookmarkEnd w:id="2"/>
      <w:bookmarkEnd w:id="3"/>
    </w:p>
    <w:tbl>
      <w:tblPr>
        <w:tblStyle w:val="35"/>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559"/>
        <w:gridCol w:w="5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559" w:type="dxa"/>
            <w:vAlign w:val="center"/>
          </w:tcPr>
          <w:p>
            <w:pPr>
              <w:pStyle w:val="58"/>
            </w:pPr>
            <w:r>
              <w:rPr>
                <w:rFonts w:hint="eastAsia"/>
              </w:rPr>
              <w:t>内    容</w:t>
            </w:r>
          </w:p>
        </w:tc>
        <w:tc>
          <w:tcPr>
            <w:tcW w:w="5214"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559" w:type="dxa"/>
            <w:vAlign w:val="center"/>
          </w:tcPr>
          <w:p>
            <w:pPr>
              <w:pStyle w:val="55"/>
              <w:jc w:val="center"/>
            </w:pPr>
            <w:r>
              <w:rPr>
                <w:rFonts w:hint="eastAsia"/>
              </w:rPr>
              <w:t>工程名称</w:t>
            </w:r>
          </w:p>
        </w:tc>
        <w:tc>
          <w:tcPr>
            <w:tcW w:w="5214" w:type="dxa"/>
            <w:vAlign w:val="center"/>
          </w:tcPr>
          <w:p>
            <w:pPr>
              <w:spacing w:line="240" w:lineRule="auto"/>
              <w:ind w:firstLine="0" w:firstLineChars="0"/>
              <w:jc w:val="left"/>
              <w:rPr>
                <w:rFonts w:ascii="宋体" w:hAnsi="宋体"/>
                <w:szCs w:val="21"/>
              </w:rPr>
            </w:pPr>
            <w:r>
              <w:rPr>
                <w:rFonts w:hint="eastAsia" w:ascii="宋体" w:hAnsi="宋体"/>
                <w:color w:val="FF0000"/>
                <w:szCs w:val="21"/>
              </w:rPr>
              <w:t>北京清华长庚医院急诊风除室改造工程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559" w:type="dxa"/>
            <w:vAlign w:val="center"/>
          </w:tcPr>
          <w:p>
            <w:pPr>
              <w:pStyle w:val="55"/>
              <w:jc w:val="center"/>
            </w:pPr>
            <w:r>
              <w:rPr>
                <w:rFonts w:hint="eastAsia"/>
              </w:rPr>
              <w:t>建设地点</w:t>
            </w:r>
          </w:p>
        </w:tc>
        <w:tc>
          <w:tcPr>
            <w:tcW w:w="5214"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559" w:type="dxa"/>
            <w:vAlign w:val="center"/>
          </w:tcPr>
          <w:p>
            <w:pPr>
              <w:pStyle w:val="55"/>
              <w:jc w:val="center"/>
            </w:pPr>
            <w:r>
              <w:rPr>
                <w:rFonts w:hint="eastAsia"/>
              </w:rPr>
              <w:t>建设规模</w:t>
            </w:r>
          </w:p>
        </w:tc>
        <w:tc>
          <w:tcPr>
            <w:tcW w:w="5214"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559" w:type="dxa"/>
            <w:vAlign w:val="center"/>
          </w:tcPr>
          <w:p>
            <w:pPr>
              <w:pStyle w:val="55"/>
              <w:jc w:val="center"/>
            </w:pPr>
            <w:r>
              <w:rPr>
                <w:rFonts w:hint="eastAsia"/>
              </w:rPr>
              <w:t>承包方式</w:t>
            </w:r>
          </w:p>
        </w:tc>
        <w:tc>
          <w:tcPr>
            <w:tcW w:w="5214"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559" w:type="dxa"/>
            <w:vAlign w:val="center"/>
          </w:tcPr>
          <w:p>
            <w:pPr>
              <w:pStyle w:val="55"/>
              <w:jc w:val="center"/>
            </w:pPr>
            <w:r>
              <w:rPr>
                <w:rFonts w:hint="eastAsia"/>
              </w:rPr>
              <w:t>质量标准</w:t>
            </w:r>
          </w:p>
        </w:tc>
        <w:tc>
          <w:tcPr>
            <w:tcW w:w="5214"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559" w:type="dxa"/>
            <w:vAlign w:val="center"/>
          </w:tcPr>
          <w:p>
            <w:pPr>
              <w:pStyle w:val="55"/>
              <w:jc w:val="center"/>
            </w:pPr>
            <w:r>
              <w:rPr>
                <w:rFonts w:hint="eastAsia"/>
              </w:rPr>
              <w:t>招标范围</w:t>
            </w:r>
          </w:p>
        </w:tc>
        <w:tc>
          <w:tcPr>
            <w:tcW w:w="5214" w:type="dxa"/>
            <w:vAlign w:val="center"/>
          </w:tcPr>
          <w:p>
            <w:pPr>
              <w:pStyle w:val="55"/>
              <w:rPr>
                <w:color w:val="FF0000"/>
              </w:rPr>
            </w:pPr>
            <w:r>
              <w:rPr>
                <w:rFonts w:hint="eastAsia"/>
                <w:color w:val="FF0000"/>
              </w:rPr>
              <w:t>本次招标范围为图纸中包含的新建风除室及相关装饰、电气专业改造等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559" w:type="dxa"/>
            <w:vAlign w:val="center"/>
          </w:tcPr>
          <w:p>
            <w:pPr>
              <w:pStyle w:val="55"/>
              <w:jc w:val="center"/>
            </w:pPr>
            <w:r>
              <w:rPr>
                <w:rFonts w:hint="eastAsia"/>
              </w:rPr>
              <w:t>工期要求</w:t>
            </w:r>
          </w:p>
        </w:tc>
        <w:tc>
          <w:tcPr>
            <w:tcW w:w="5214" w:type="dxa"/>
            <w:vAlign w:val="center"/>
          </w:tcPr>
          <w:p>
            <w:pPr>
              <w:pStyle w:val="55"/>
            </w:pPr>
            <w:r>
              <w:rPr>
                <w:rFonts w:hint="eastAsia"/>
              </w:rPr>
              <w:t>计划开工时间：</w:t>
            </w:r>
            <w:r>
              <w:rPr>
                <w:rFonts w:hint="eastAsia"/>
                <w:color w:val="FF0000"/>
              </w:rPr>
              <w:t>20</w:t>
            </w:r>
            <w:r>
              <w:rPr>
                <w:color w:val="FF0000"/>
              </w:rPr>
              <w:t>20</w:t>
            </w:r>
            <w:r>
              <w:rPr>
                <w:rFonts w:hint="eastAsia"/>
                <w:color w:val="FF0000"/>
              </w:rPr>
              <w:t>年</w:t>
            </w:r>
            <w:r>
              <w:rPr>
                <w:color w:val="FF0000"/>
              </w:rPr>
              <w:t>10</w:t>
            </w:r>
            <w:r>
              <w:rPr>
                <w:rFonts w:hint="eastAsia"/>
                <w:color w:val="FF0000"/>
              </w:rPr>
              <w:t>月</w:t>
            </w:r>
            <w:r>
              <w:rPr>
                <w:color w:val="FF0000"/>
              </w:rPr>
              <w:t>17</w:t>
            </w:r>
            <w:r>
              <w:rPr>
                <w:rFonts w:hint="eastAsia"/>
                <w:color w:val="FF0000"/>
              </w:rPr>
              <w:t>日</w:t>
            </w:r>
            <w:r>
              <w:rPr>
                <w:rFonts w:hint="eastAsia"/>
                <w:color w:val="000000" w:themeColor="text1"/>
                <w14:textFill>
                  <w14:solidFill>
                    <w14:schemeClr w14:val="tx1"/>
                  </w14:solidFill>
                </w14:textFill>
              </w:rPr>
              <w:t>，招标人要求工期：</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日</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559" w:type="dxa"/>
            <w:vAlign w:val="center"/>
          </w:tcPr>
          <w:p>
            <w:pPr>
              <w:pStyle w:val="55"/>
              <w:jc w:val="center"/>
              <w:rPr>
                <w:szCs w:val="21"/>
              </w:rPr>
            </w:pPr>
            <w:r>
              <w:rPr>
                <w:rFonts w:hint="eastAsia"/>
                <w:szCs w:val="21"/>
              </w:rPr>
              <w:t>资金来源</w:t>
            </w:r>
          </w:p>
        </w:tc>
        <w:tc>
          <w:tcPr>
            <w:tcW w:w="5214" w:type="dxa"/>
            <w:vAlign w:val="center"/>
          </w:tcPr>
          <w:p>
            <w:pPr>
              <w:pStyle w:val="55"/>
            </w:pPr>
            <w:r>
              <w:rPr>
                <w:rFonts w:hint="eastAsia"/>
              </w:rPr>
              <w:t>自有资金，已落实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559" w:type="dxa"/>
            <w:vAlign w:val="center"/>
          </w:tcPr>
          <w:p>
            <w:pPr>
              <w:pStyle w:val="55"/>
              <w:jc w:val="center"/>
              <w:rPr>
                <w:szCs w:val="21"/>
              </w:rPr>
            </w:pPr>
            <w:r>
              <w:rPr>
                <w:rFonts w:hint="eastAsia"/>
                <w:szCs w:val="21"/>
              </w:rPr>
              <w:t>投标人资质及项目经理等级要求</w:t>
            </w:r>
          </w:p>
        </w:tc>
        <w:tc>
          <w:tcPr>
            <w:tcW w:w="5214" w:type="dxa"/>
            <w:vAlign w:val="center"/>
          </w:tcPr>
          <w:p>
            <w:pPr>
              <w:pStyle w:val="55"/>
              <w:numPr>
                <w:ilvl w:val="0"/>
                <w:numId w:val="3"/>
              </w:numPr>
            </w:pPr>
            <w:r>
              <w:rPr>
                <w:rFonts w:hint="eastAsia"/>
              </w:rPr>
              <w:t>具有有效的企业营业执照；</w:t>
            </w:r>
          </w:p>
          <w:p>
            <w:pPr>
              <w:pStyle w:val="55"/>
              <w:numPr>
                <w:ilvl w:val="0"/>
                <w:numId w:val="3"/>
              </w:numPr>
              <w:rPr>
                <w:color w:val="FF0000"/>
              </w:rPr>
            </w:pPr>
            <w:r>
              <w:rPr>
                <w:rFonts w:hint="eastAsia"/>
                <w:color w:val="FF0000"/>
              </w:rPr>
              <w:t>具有建筑装饰装修工程专业承包二级及以上资质、机电设备安装工程专业承包三级及以上资质</w:t>
            </w:r>
            <w:r>
              <w:rPr>
                <w:rFonts w:hint="eastAsia"/>
              </w:rPr>
              <w:t>或建筑工程施工总承包三级及以上资质；</w:t>
            </w:r>
          </w:p>
          <w:p>
            <w:pPr>
              <w:pStyle w:val="55"/>
              <w:numPr>
                <w:ilvl w:val="0"/>
                <w:numId w:val="3"/>
              </w:numPr>
              <w:rPr>
                <w:color w:val="FF0000"/>
              </w:rPr>
            </w:pPr>
            <w:r>
              <w:rPr>
                <w:rFonts w:hint="eastAsia"/>
                <w:color w:val="FF0000"/>
              </w:rPr>
              <w:t>拟派项目经理应为受聘于投标人的建筑工程专业二级及以上注册建造师，同时</w:t>
            </w:r>
            <w:r>
              <w:rPr>
                <w:color w:val="FF0000"/>
              </w:rPr>
              <w:t>具有</w:t>
            </w:r>
            <w:r>
              <w:rPr>
                <w:rFonts w:hint="eastAsia"/>
                <w:color w:val="FF0000"/>
              </w:rPr>
              <w:t>有效的安全生产考核合格证书（B本）；</w:t>
            </w:r>
          </w:p>
          <w:p>
            <w:pPr>
              <w:pStyle w:val="55"/>
              <w:numPr>
                <w:ilvl w:val="0"/>
                <w:numId w:val="3"/>
              </w:numPr>
            </w:pPr>
            <w:r>
              <w:rPr>
                <w:rFonts w:hint="eastAsia"/>
              </w:rPr>
              <w:t>具有合格有效的安全生产许可证；</w:t>
            </w:r>
          </w:p>
          <w:p>
            <w:pPr>
              <w:pStyle w:val="55"/>
              <w:numPr>
                <w:ilvl w:val="0"/>
                <w:numId w:val="3"/>
              </w:numPr>
            </w:pPr>
            <w:r>
              <w:rPr>
                <w:rFonts w:hint="eastAsia"/>
              </w:rPr>
              <w:t>投标人在近三年内</w:t>
            </w:r>
            <w:r>
              <w:rPr>
                <w:rFonts w:hint="eastAsia"/>
                <w:color w:val="FF0000"/>
              </w:rPr>
              <w:t>（201</w:t>
            </w:r>
            <w:r>
              <w:rPr>
                <w:color w:val="FF0000"/>
              </w:rPr>
              <w:t>7</w:t>
            </w:r>
            <w:r>
              <w:rPr>
                <w:rFonts w:hint="eastAsia"/>
                <w:color w:val="FF0000"/>
              </w:rPr>
              <w:t>年</w:t>
            </w:r>
            <w:r>
              <w:rPr>
                <w:color w:val="FF0000"/>
              </w:rPr>
              <w:t>10</w:t>
            </w:r>
            <w:r>
              <w:rPr>
                <w:rFonts w:hint="eastAsia"/>
                <w:color w:val="FF0000"/>
              </w:rPr>
              <w:t>月-20</w:t>
            </w:r>
            <w:r>
              <w:rPr>
                <w:color w:val="FF0000"/>
              </w:rPr>
              <w:t>20</w:t>
            </w:r>
            <w:r>
              <w:rPr>
                <w:rFonts w:hint="eastAsia"/>
                <w:color w:val="FF0000"/>
              </w:rPr>
              <w:t>年</w:t>
            </w:r>
            <w:r>
              <w:rPr>
                <w:color w:val="FF0000"/>
              </w:rPr>
              <w:t>09</w:t>
            </w:r>
            <w:r>
              <w:rPr>
                <w:rFonts w:hint="eastAsia"/>
                <w:color w:val="FF0000"/>
              </w:rPr>
              <w:t>月）</w:t>
            </w:r>
            <w:r>
              <w:rPr>
                <w:rFonts w:hint="eastAsia"/>
              </w:rPr>
              <w:t>没有骗取中标和严重违约及重大工程质量问题；参加本采购活动前三年内，在经营活动中没有重大违法记录；</w:t>
            </w:r>
          </w:p>
          <w:p>
            <w:pPr>
              <w:pStyle w:val="55"/>
              <w:numPr>
                <w:ilvl w:val="0"/>
                <w:numId w:val="3"/>
              </w:numPr>
            </w:pPr>
            <w:r>
              <w:rPr>
                <w:rFonts w:hint="eastAsia"/>
              </w:rPr>
              <w:t>具有良好的商业信誉和健全的财务会计制度；</w:t>
            </w:r>
          </w:p>
          <w:p>
            <w:pPr>
              <w:pStyle w:val="55"/>
              <w:numPr>
                <w:ilvl w:val="0"/>
                <w:numId w:val="3"/>
              </w:numPr>
            </w:pPr>
            <w:r>
              <w:rPr>
                <w:rFonts w:hint="eastAsia"/>
              </w:rPr>
              <w:t>具有依法缴纳税收和社会保障资金的良好记录；</w:t>
            </w:r>
          </w:p>
          <w:p>
            <w:pPr>
              <w:pStyle w:val="55"/>
              <w:numPr>
                <w:ilvl w:val="0"/>
                <w:numId w:val="3"/>
              </w:numPr>
            </w:pP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559" w:type="dxa"/>
            <w:vAlign w:val="center"/>
          </w:tcPr>
          <w:p>
            <w:pPr>
              <w:pStyle w:val="55"/>
              <w:jc w:val="center"/>
              <w:rPr>
                <w:szCs w:val="21"/>
              </w:rPr>
            </w:pPr>
            <w:r>
              <w:rPr>
                <w:rFonts w:hint="eastAsia"/>
                <w:szCs w:val="21"/>
              </w:rPr>
              <w:t>资</w:t>
            </w:r>
            <w:r>
              <w:rPr>
                <w:szCs w:val="21"/>
              </w:rPr>
              <w:t>格审查</w:t>
            </w:r>
          </w:p>
        </w:tc>
        <w:tc>
          <w:tcPr>
            <w:tcW w:w="5214"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559" w:type="dxa"/>
            <w:vAlign w:val="center"/>
          </w:tcPr>
          <w:p>
            <w:pPr>
              <w:pStyle w:val="55"/>
              <w:jc w:val="center"/>
              <w:rPr>
                <w:szCs w:val="21"/>
              </w:rPr>
            </w:pPr>
            <w:r>
              <w:rPr>
                <w:rFonts w:hint="eastAsia"/>
                <w:szCs w:val="21"/>
              </w:rPr>
              <w:t>工程计价方式</w:t>
            </w:r>
          </w:p>
        </w:tc>
        <w:tc>
          <w:tcPr>
            <w:tcW w:w="5214"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559" w:type="dxa"/>
            <w:vAlign w:val="center"/>
          </w:tcPr>
          <w:p>
            <w:pPr>
              <w:pStyle w:val="55"/>
              <w:jc w:val="center"/>
              <w:rPr>
                <w:szCs w:val="21"/>
              </w:rPr>
            </w:pPr>
            <w:r>
              <w:rPr>
                <w:rFonts w:hint="eastAsia"/>
                <w:szCs w:val="21"/>
              </w:rPr>
              <w:t>踏勘现场</w:t>
            </w:r>
          </w:p>
        </w:tc>
        <w:tc>
          <w:tcPr>
            <w:tcW w:w="5214" w:type="dxa"/>
            <w:vAlign w:val="center"/>
          </w:tcPr>
          <w:p>
            <w:pPr>
              <w:pStyle w:val="55"/>
              <w:rPr>
                <w:rFonts w:hint="eastAsia" w:eastAsia="宋体"/>
                <w:lang w:val="en-US" w:eastAsia="zh-CN"/>
              </w:rPr>
            </w:pPr>
            <w:r>
              <w:rPr>
                <w:color w:val="FF0000"/>
                <w:szCs w:val="21"/>
              </w:rPr>
              <w:t>组织踏勘</w:t>
            </w:r>
            <w:r>
              <w:rPr>
                <w:rFonts w:hint="eastAsia"/>
                <w:color w:val="FF0000"/>
                <w:szCs w:val="21"/>
                <w:lang w:val="en-US" w:eastAsia="zh-CN"/>
              </w:rPr>
              <w:t>,时间：</w:t>
            </w:r>
            <w:r>
              <w:rPr>
                <w:rFonts w:hint="eastAsia"/>
                <w:color w:val="FF0000"/>
                <w:highlight w:val="yellow"/>
              </w:rPr>
              <w:t>20</w:t>
            </w:r>
            <w:r>
              <w:rPr>
                <w:color w:val="FF0000"/>
                <w:highlight w:val="yellow"/>
              </w:rPr>
              <w:t>20</w:t>
            </w:r>
            <w:r>
              <w:rPr>
                <w:rFonts w:hint="eastAsia"/>
                <w:color w:val="FF0000"/>
                <w:highlight w:val="yellow"/>
              </w:rPr>
              <w:t>年</w:t>
            </w:r>
            <w:r>
              <w:rPr>
                <w:rFonts w:hint="eastAsia"/>
                <w:color w:val="FF0000"/>
                <w:highlight w:val="yellow"/>
                <w:lang w:val="en-US" w:eastAsia="zh-CN"/>
              </w:rPr>
              <w:t>10</w:t>
            </w:r>
            <w:r>
              <w:rPr>
                <w:rFonts w:hint="eastAsia"/>
                <w:color w:val="FF0000"/>
                <w:highlight w:val="yellow"/>
              </w:rPr>
              <w:t>月</w:t>
            </w:r>
            <w:r>
              <w:rPr>
                <w:rFonts w:hint="eastAsia"/>
                <w:color w:val="FF0000"/>
                <w:highlight w:val="yellow"/>
                <w:lang w:val="en-US" w:eastAsia="zh-CN"/>
              </w:rPr>
              <w:t>9</w:t>
            </w:r>
            <w:r>
              <w:rPr>
                <w:rFonts w:hint="eastAsia"/>
                <w:color w:val="FF0000"/>
                <w:highlight w:val="yellow"/>
              </w:rPr>
              <w:t xml:space="preserve">日 </w:t>
            </w:r>
            <w:bookmarkStart w:id="22" w:name="_GoBack"/>
            <w:bookmarkEnd w:id="22"/>
            <w:r>
              <w:rPr>
                <w:rFonts w:hint="eastAsia"/>
                <w:color w:val="FF0000"/>
                <w:highlight w:val="yellow"/>
              </w:rPr>
              <w:t>下午14:00时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559" w:type="dxa"/>
            <w:vAlign w:val="center"/>
          </w:tcPr>
          <w:p>
            <w:pPr>
              <w:pStyle w:val="55"/>
              <w:jc w:val="center"/>
              <w:rPr>
                <w:szCs w:val="21"/>
              </w:rPr>
            </w:pPr>
            <w:r>
              <w:rPr>
                <w:rFonts w:hint="eastAsia"/>
                <w:szCs w:val="21"/>
              </w:rPr>
              <w:t>投标文件份数</w:t>
            </w:r>
          </w:p>
        </w:tc>
        <w:tc>
          <w:tcPr>
            <w:tcW w:w="5214" w:type="dxa"/>
            <w:vAlign w:val="center"/>
          </w:tcPr>
          <w:p>
            <w:pPr>
              <w:pStyle w:val="55"/>
            </w:pPr>
            <w:r>
              <w:rPr>
                <w:rFonts w:hint="eastAsia"/>
                <w:u w:val="single"/>
              </w:rPr>
              <w:t>壹</w:t>
            </w:r>
            <w:r>
              <w:rPr>
                <w:rFonts w:hint="eastAsia"/>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559" w:type="dxa"/>
            <w:vAlign w:val="center"/>
          </w:tcPr>
          <w:p>
            <w:pPr>
              <w:pStyle w:val="55"/>
              <w:jc w:val="center"/>
              <w:rPr>
                <w:szCs w:val="21"/>
              </w:rPr>
            </w:pPr>
            <w:r>
              <w:rPr>
                <w:rFonts w:hint="eastAsia"/>
                <w:szCs w:val="21"/>
              </w:rPr>
              <w:t>投标文件提交地点及      截止时间</w:t>
            </w:r>
          </w:p>
        </w:tc>
        <w:tc>
          <w:tcPr>
            <w:tcW w:w="5214"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rPr>
                <w:rFonts w:hint="default" w:eastAsia="宋体"/>
                <w:lang w:val="en-US" w:eastAsia="zh-CN"/>
              </w:rPr>
            </w:pPr>
            <w:r>
              <w:rPr>
                <w:rFonts w:hint="eastAsia"/>
              </w:rPr>
              <w:t>北京清</w:t>
            </w:r>
            <w:r>
              <w:t>华长庚医院</w:t>
            </w:r>
            <w:r>
              <w:rPr>
                <w:rFonts w:hint="eastAsia"/>
              </w:rPr>
              <w:t>2</w:t>
            </w:r>
            <w:r>
              <w:t>#楼</w:t>
            </w:r>
            <w:r>
              <w:rPr>
                <w:rFonts w:hint="eastAsia"/>
              </w:rPr>
              <w:t>3F会议</w:t>
            </w:r>
            <w:r>
              <w:t>室</w:t>
            </w:r>
          </w:p>
          <w:p>
            <w:pPr>
              <w:pStyle w:val="55"/>
              <w:rPr>
                <w:color w:val="FF0000"/>
              </w:rPr>
            </w:pPr>
            <w:r>
              <w:rPr>
                <w:rFonts w:hint="eastAsia"/>
              </w:rPr>
              <w:t>时  间：</w:t>
            </w:r>
            <w:r>
              <w:rPr>
                <w:rFonts w:hint="eastAsia"/>
                <w:color w:val="FF0000"/>
                <w:highlight w:val="yellow"/>
              </w:rPr>
              <w:t>20</w:t>
            </w:r>
            <w:r>
              <w:rPr>
                <w:color w:val="FF0000"/>
                <w:highlight w:val="yellow"/>
              </w:rPr>
              <w:t>20</w:t>
            </w:r>
            <w:r>
              <w:rPr>
                <w:rFonts w:hint="eastAsia"/>
                <w:color w:val="FF0000"/>
                <w:highlight w:val="yellow"/>
              </w:rPr>
              <w:t>年</w:t>
            </w:r>
            <w:r>
              <w:rPr>
                <w:rFonts w:hint="eastAsia"/>
                <w:color w:val="FF0000"/>
                <w:highlight w:val="yellow"/>
                <w:lang w:val="en-US" w:eastAsia="zh-CN"/>
              </w:rPr>
              <w:t>10</w:t>
            </w:r>
            <w:r>
              <w:rPr>
                <w:rFonts w:hint="eastAsia"/>
                <w:color w:val="FF0000"/>
                <w:highlight w:val="yellow"/>
              </w:rPr>
              <w:t>月</w:t>
            </w:r>
            <w:r>
              <w:rPr>
                <w:rFonts w:hint="eastAsia"/>
                <w:color w:val="FF0000"/>
                <w:highlight w:val="yellow"/>
                <w:lang w:val="en-US" w:eastAsia="zh-CN"/>
              </w:rPr>
              <w:t>12</w:t>
            </w:r>
            <w:r>
              <w:rPr>
                <w:rFonts w:hint="eastAsia"/>
                <w:color w:val="FF0000"/>
                <w:highlight w:val="yellow"/>
              </w:rPr>
              <w:t>日 下午14:00时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559" w:type="dxa"/>
            <w:vAlign w:val="center"/>
          </w:tcPr>
          <w:p>
            <w:pPr>
              <w:pStyle w:val="55"/>
              <w:jc w:val="center"/>
              <w:rPr>
                <w:szCs w:val="21"/>
              </w:rPr>
            </w:pPr>
            <w:r>
              <w:rPr>
                <w:rFonts w:hint="eastAsia"/>
                <w:szCs w:val="21"/>
              </w:rPr>
              <w:t>开标</w:t>
            </w:r>
          </w:p>
        </w:tc>
        <w:tc>
          <w:tcPr>
            <w:tcW w:w="5214" w:type="dxa"/>
            <w:vAlign w:val="center"/>
          </w:tcPr>
          <w:p>
            <w:pPr>
              <w:pStyle w:val="55"/>
              <w:rPr>
                <w:b/>
                <w:color w:val="00B050"/>
              </w:rPr>
            </w:pPr>
            <w:r>
              <w:rPr>
                <w:rFonts w:hint="eastAsia"/>
              </w:rPr>
              <w:t>开始时间：</w:t>
            </w:r>
            <w:r>
              <w:rPr>
                <w:rFonts w:hint="eastAsia"/>
                <w:color w:val="FF0000"/>
                <w:highlight w:val="yellow"/>
              </w:rPr>
              <w:t>20</w:t>
            </w:r>
            <w:r>
              <w:rPr>
                <w:color w:val="FF0000"/>
                <w:highlight w:val="yellow"/>
              </w:rPr>
              <w:t>20</w:t>
            </w:r>
            <w:r>
              <w:rPr>
                <w:rFonts w:hint="eastAsia"/>
                <w:color w:val="FF0000"/>
                <w:highlight w:val="yellow"/>
              </w:rPr>
              <w:t>年</w:t>
            </w:r>
            <w:r>
              <w:rPr>
                <w:rFonts w:hint="eastAsia"/>
                <w:color w:val="FF0000"/>
                <w:highlight w:val="yellow"/>
                <w:lang w:val="en-US" w:eastAsia="zh-CN"/>
              </w:rPr>
              <w:t>10</w:t>
            </w:r>
            <w:r>
              <w:rPr>
                <w:rFonts w:hint="eastAsia"/>
                <w:color w:val="FF0000"/>
                <w:highlight w:val="yellow"/>
              </w:rPr>
              <w:t>月</w:t>
            </w:r>
            <w:r>
              <w:rPr>
                <w:rFonts w:hint="eastAsia"/>
                <w:color w:val="FF0000"/>
                <w:highlight w:val="yellow"/>
                <w:lang w:val="en-US" w:eastAsia="zh-CN"/>
              </w:rPr>
              <w:t>12</w:t>
            </w:r>
            <w:r>
              <w:rPr>
                <w:rFonts w:hint="eastAsia"/>
                <w:color w:val="FF0000"/>
                <w:highlight w:val="yellow"/>
              </w:rPr>
              <w:t>日 下午14:00时</w:t>
            </w:r>
          </w:p>
          <w:p>
            <w:pPr>
              <w:pStyle w:val="55"/>
            </w:pPr>
            <w:r>
              <w:rPr>
                <w:rFonts w:hint="eastAsia"/>
              </w:rPr>
              <w:t>地    点: 北京清</w:t>
            </w:r>
            <w:r>
              <w:t>华长庚医院</w:t>
            </w:r>
            <w:r>
              <w:rPr>
                <w:rFonts w:hint="eastAsia"/>
              </w:rPr>
              <w:t>2</w:t>
            </w:r>
            <w:r>
              <w:t>#楼</w:t>
            </w:r>
            <w:r>
              <w:rPr>
                <w:rFonts w:hint="eastAsia"/>
              </w:rPr>
              <w:t>3F会议</w:t>
            </w:r>
            <w: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559" w:type="dxa"/>
            <w:vAlign w:val="center"/>
          </w:tcPr>
          <w:p>
            <w:pPr>
              <w:pStyle w:val="55"/>
              <w:jc w:val="center"/>
              <w:rPr>
                <w:szCs w:val="21"/>
              </w:rPr>
            </w:pPr>
            <w:r>
              <w:rPr>
                <w:rFonts w:hint="eastAsia"/>
                <w:szCs w:val="21"/>
              </w:rPr>
              <w:t>评标方法    及标准</w:t>
            </w:r>
          </w:p>
        </w:tc>
        <w:tc>
          <w:tcPr>
            <w:tcW w:w="5214"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559"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214" w:type="dxa"/>
            <w:vAlign w:val="center"/>
          </w:tcPr>
          <w:p>
            <w:pPr>
              <w:spacing w:line="312" w:lineRule="auto"/>
              <w:ind w:firstLine="105" w:firstLineChars="50"/>
              <w:rPr>
                <w:color w:val="FF0000"/>
              </w:rPr>
            </w:pPr>
            <w:r>
              <w:rPr>
                <w:rFonts w:hint="eastAsia"/>
                <w:color w:val="FF0000"/>
                <w:highlight w:val="yellow"/>
              </w:rPr>
              <w:t>人民币</w:t>
            </w:r>
            <w:r>
              <w:rPr>
                <w:rFonts w:hint="eastAsia"/>
                <w:color w:val="FF0000"/>
              </w:rPr>
              <w:t>53,238.72</w:t>
            </w:r>
            <w:r>
              <w:rPr>
                <w:rFonts w:hint="eastAsia"/>
                <w:color w:val="FF0000"/>
                <w:highlight w:val="yellow"/>
              </w:rPr>
              <w:t>元</w:t>
            </w:r>
          </w:p>
          <w:p>
            <w:pPr>
              <w:spacing w:line="312" w:lineRule="auto"/>
              <w:ind w:firstLine="0" w:firstLineChars="0"/>
            </w:pPr>
            <w:r>
              <w:rPr>
                <w:rFonts w:hint="eastAsia"/>
                <w:color w:val="FF0000"/>
                <w:highlight w:val="yellow"/>
              </w:rPr>
              <w:t>（大写：人民币伍万</w:t>
            </w:r>
            <w:r>
              <w:rPr>
                <w:color w:val="FF0000"/>
                <w:highlight w:val="yellow"/>
              </w:rPr>
              <w:t>叁仟</w:t>
            </w:r>
            <w:r>
              <w:rPr>
                <w:rFonts w:hint="eastAsia"/>
                <w:color w:val="FF0000"/>
                <w:highlight w:val="yellow"/>
              </w:rPr>
              <w:t>贰佰</w:t>
            </w:r>
            <w:r>
              <w:rPr>
                <w:color w:val="FF0000"/>
                <w:highlight w:val="yellow"/>
              </w:rPr>
              <w:t>叁拾捌</w:t>
            </w:r>
            <w:r>
              <w:rPr>
                <w:rFonts w:hint="eastAsia"/>
                <w:color w:val="FF0000"/>
                <w:highlight w:val="yellow"/>
              </w:rPr>
              <w:t>元柒角贰分）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559"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214"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highlight w:val="yellow"/>
              </w:rPr>
              <w:t>20</w:t>
            </w:r>
            <w:r>
              <w:rPr>
                <w:rFonts w:ascii="宋体" w:hAnsi="宋体"/>
                <w:color w:val="FF0000"/>
                <w:highlight w:val="yellow"/>
              </w:rPr>
              <w:t>20</w:t>
            </w:r>
            <w:r>
              <w:rPr>
                <w:rFonts w:hint="eastAsia" w:ascii="宋体" w:hAnsi="宋体"/>
                <w:color w:val="FF0000"/>
                <w:highlight w:val="yellow"/>
              </w:rPr>
              <w:t>年</w:t>
            </w:r>
            <w:r>
              <w:rPr>
                <w:rFonts w:ascii="宋体" w:hAnsi="宋体"/>
                <w:color w:val="FF0000"/>
                <w:highlight w:val="yellow"/>
              </w:rPr>
              <w:t>09</w:t>
            </w:r>
            <w:r>
              <w:rPr>
                <w:rFonts w:hint="eastAsia" w:ascii="宋体" w:hAnsi="宋体"/>
                <w:color w:val="FF0000"/>
                <w:highlight w:val="yellow"/>
              </w:rPr>
              <w:t>月</w:t>
            </w:r>
            <w:r>
              <w:rPr>
                <w:rFonts w:hint="eastAsia" w:ascii="宋体" w:hAnsi="宋体"/>
                <w:color w:val="FF0000"/>
                <w:highlight w:val="yellow"/>
                <w:lang w:val="en-US" w:eastAsia="zh-CN"/>
              </w:rPr>
              <w:t>30</w:t>
            </w:r>
            <w:r>
              <w:rPr>
                <w:rFonts w:hint="eastAsia" w:ascii="宋体" w:hAnsi="宋体"/>
                <w:color w:val="FF0000"/>
                <w:highlight w:val="yellow"/>
              </w:rPr>
              <w:t>日</w:t>
            </w:r>
            <w:r>
              <w:rPr>
                <w:rFonts w:ascii="宋体" w:hAnsi="宋体"/>
                <w:color w:val="FF0000"/>
                <w:highlight w:val="yellow"/>
              </w:rPr>
              <w:t>至</w:t>
            </w:r>
            <w:r>
              <w:rPr>
                <w:rFonts w:hint="eastAsia" w:ascii="宋体" w:hAnsi="宋体"/>
                <w:color w:val="FF0000"/>
                <w:highlight w:val="yellow"/>
              </w:rPr>
              <w:t>20</w:t>
            </w:r>
            <w:r>
              <w:rPr>
                <w:rFonts w:ascii="宋体" w:hAnsi="宋体"/>
                <w:color w:val="FF0000"/>
                <w:highlight w:val="yellow"/>
              </w:rPr>
              <w:t>20</w:t>
            </w:r>
            <w:r>
              <w:rPr>
                <w:rFonts w:hint="eastAsia" w:ascii="宋体" w:hAnsi="宋体"/>
                <w:color w:val="FF0000"/>
                <w:highlight w:val="yellow"/>
              </w:rPr>
              <w:t>年</w:t>
            </w:r>
            <w:r>
              <w:rPr>
                <w:rFonts w:hint="eastAsia" w:ascii="宋体" w:hAnsi="宋体"/>
                <w:color w:val="FF0000"/>
                <w:highlight w:val="yellow"/>
                <w:lang w:val="en-US" w:eastAsia="zh-CN"/>
              </w:rPr>
              <w:t>10</w:t>
            </w:r>
            <w:r>
              <w:rPr>
                <w:rFonts w:hint="eastAsia" w:ascii="宋体" w:hAnsi="宋体"/>
                <w:color w:val="FF0000"/>
                <w:highlight w:val="yellow"/>
              </w:rPr>
              <w:t>月</w:t>
            </w:r>
            <w:r>
              <w:rPr>
                <w:rFonts w:hint="eastAsia" w:ascii="宋体" w:hAnsi="宋体"/>
                <w:color w:val="FF0000"/>
                <w:highlight w:val="yellow"/>
                <w:lang w:val="en-US" w:eastAsia="zh-CN"/>
              </w:rPr>
              <w:t>11</w:t>
            </w:r>
            <w:r>
              <w:rPr>
                <w:rFonts w:hint="eastAsia" w:ascii="宋体" w:hAnsi="宋体"/>
                <w:color w:val="FF0000"/>
                <w:highlight w:val="yellow"/>
              </w:rPr>
              <w:t>日</w:t>
            </w:r>
            <w:r>
              <w:rPr>
                <w:rFonts w:ascii="宋体" w:hAnsi="宋体"/>
                <w:color w:val="FF0000"/>
                <w:highlight w:val="yellow"/>
              </w:rPr>
              <w:t>(</w:t>
            </w:r>
            <w:r>
              <w:rPr>
                <w:rFonts w:hint="eastAsia"/>
                <w:color w:val="FF0000"/>
                <w:highlight w:val="yellow"/>
              </w:rPr>
              <w:t>节假日除外</w:t>
            </w:r>
            <w:r>
              <w:rPr>
                <w:color w:val="FF0000"/>
                <w:highlight w:val="yellow"/>
              </w:rPr>
              <w:t>)</w:t>
            </w:r>
            <w:r>
              <w:rPr>
                <w:rFonts w:hint="eastAsia"/>
                <w:color w:val="FF0000"/>
                <w:highlight w:val="yellow"/>
              </w:rPr>
              <w:t>，上午</w:t>
            </w:r>
            <w:r>
              <w:rPr>
                <w:color w:val="FF0000"/>
                <w:highlight w:val="yellow"/>
              </w:rPr>
              <w:t>9:00</w:t>
            </w:r>
            <w:r>
              <w:rPr>
                <w:rFonts w:hint="eastAsia"/>
                <w:color w:val="FF0000"/>
                <w:highlight w:val="yellow"/>
              </w:rPr>
              <w:t>至</w:t>
            </w:r>
            <w:r>
              <w:rPr>
                <w:color w:val="FF0000"/>
                <w:highlight w:val="yellow"/>
              </w:rPr>
              <w:t>11:00</w:t>
            </w:r>
            <w:r>
              <w:rPr>
                <w:rFonts w:hint="eastAsia"/>
                <w:color w:val="FF0000"/>
                <w:highlight w:val="yellow"/>
              </w:rPr>
              <w:t>；下午</w:t>
            </w:r>
            <w:r>
              <w:rPr>
                <w:color w:val="FF0000"/>
                <w:highlight w:val="yellow"/>
              </w:rPr>
              <w:t>2:</w:t>
            </w:r>
            <w:r>
              <w:rPr>
                <w:rFonts w:hint="eastAsia"/>
                <w:color w:val="FF0000"/>
                <w:highlight w:val="yellow"/>
              </w:rPr>
              <w:t>0</w:t>
            </w:r>
            <w:r>
              <w:rPr>
                <w:color w:val="FF0000"/>
                <w:highlight w:val="yellow"/>
              </w:rPr>
              <w:t>0</w:t>
            </w:r>
            <w:r>
              <w:rPr>
                <w:rFonts w:hint="eastAsia"/>
                <w:color w:val="FF0000"/>
                <w:highlight w:val="yellow"/>
              </w:rPr>
              <w:t>至</w:t>
            </w:r>
            <w:r>
              <w:rPr>
                <w:color w:val="FF0000"/>
                <w:highlight w:val="yellow"/>
              </w:rPr>
              <w:t>4:</w:t>
            </w:r>
            <w:r>
              <w:rPr>
                <w:rFonts w:hint="eastAsia"/>
                <w:color w:val="FF0000"/>
                <w:highlight w:val="yellow"/>
              </w:rPr>
              <w:t>0</w:t>
            </w:r>
            <w:r>
              <w:rPr>
                <w:color w:val="FF0000"/>
                <w:highlight w:val="yellow"/>
              </w:rPr>
              <w:t>0</w:t>
            </w:r>
            <w:r>
              <w:rPr>
                <w:rFonts w:hint="eastAsia"/>
                <w:color w:val="FF0000"/>
                <w:highlight w:val="yellow"/>
              </w:rPr>
              <w:t>（北京时间）。</w:t>
            </w:r>
            <w:r>
              <w:rPr>
                <w:rFonts w:hint="eastAsia"/>
              </w:rPr>
              <w:t>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地点：北京清</w:t>
            </w:r>
            <w:r>
              <w:t>华长庚医院</w:t>
            </w:r>
            <w:r>
              <w:rPr>
                <w:rFonts w:hint="eastAsia"/>
              </w:rPr>
              <w:t>2</w:t>
            </w:r>
            <w:r>
              <w:t>#楼</w:t>
            </w:r>
            <w:r>
              <w:rPr>
                <w:rFonts w:hint="eastAsia"/>
              </w:rPr>
              <w:t>。联</w:t>
            </w:r>
            <w:r>
              <w:t>系人：</w:t>
            </w:r>
            <w:r>
              <w:rPr>
                <w:rFonts w:hint="eastAsia"/>
              </w:rPr>
              <w:t>武老师</w:t>
            </w:r>
            <w:r>
              <w:t>，联系电话：</w:t>
            </w:r>
            <w:r>
              <w:rPr>
                <w:rFonts w:hint="eastAsia"/>
              </w:rPr>
              <w:t>0</w:t>
            </w:r>
            <w:r>
              <w:t>10-5611-8628</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numPr>
          <w:ilvl w:val="0"/>
          <w:numId w:val="0"/>
        </w:numPr>
      </w:pPr>
      <w:bookmarkStart w:id="6" w:name="_Toc395611380"/>
      <w:r>
        <w:rPr>
          <w:rFonts w:hint="eastAsia"/>
        </w:rPr>
        <w:t>（一）总则</w:t>
      </w:r>
      <w:bookmarkEnd w:id="6"/>
    </w:p>
    <w:p>
      <w:pPr>
        <w:pStyle w:val="5"/>
        <w:ind w:left="0"/>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color w:val="FF0000"/>
          <w:szCs w:val="21"/>
          <w:u w:val="single"/>
        </w:rPr>
        <w:t>北京清华长庚医院急诊风除室改造工程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ind w:left="0"/>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ind w:left="0"/>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ind w:left="0"/>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7"/>
        <w:ind w:firstLine="105" w:firstLineChars="50"/>
      </w:pPr>
      <w:r>
        <w:t>4.3.2</w:t>
      </w:r>
      <w:r>
        <w:rPr>
          <w:rFonts w:hint="eastAsia"/>
        </w:rPr>
        <w:t>为</w:t>
      </w:r>
      <w:r>
        <w:t>本招标项目前期准备提供设计或咨询服务的。</w:t>
      </w:r>
    </w:p>
    <w:p>
      <w:pPr>
        <w:pStyle w:val="7"/>
      </w:pPr>
      <w:r>
        <w:rPr>
          <w:rFonts w:hint="eastAsia"/>
        </w:rPr>
        <w:t xml:space="preserve"> 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ind w:left="0"/>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
          <w:bCs/>
          <w:snapToGrid w:val="0"/>
          <w:kern w:val="0"/>
          <w:szCs w:val="21"/>
        </w:rPr>
      </w:pPr>
      <w:r>
        <w:rPr>
          <w:rFonts w:hint="eastAsia"/>
          <w:b/>
          <w:bCs/>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ind w:left="0"/>
      </w:pPr>
      <w:r>
        <w:rPr>
          <w:rFonts w:hint="eastAsia"/>
        </w:rPr>
        <w:t>投标费用</w:t>
      </w:r>
    </w:p>
    <w:p>
      <w:pPr>
        <w:pStyle w:val="6"/>
      </w:pPr>
      <w:r>
        <w:rPr>
          <w:rFonts w:hint="eastAsia"/>
        </w:rPr>
        <w:t>投标人应承担其参加本招标活动自身所发生的费用；</w:t>
      </w:r>
    </w:p>
    <w:p>
      <w:pPr>
        <w:pStyle w:val="5"/>
        <w:ind w:left="0"/>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numPr>
          <w:ilvl w:val="0"/>
          <w:numId w:val="0"/>
        </w:numPr>
      </w:pPr>
      <w:bookmarkStart w:id="7" w:name="_Toc395611381"/>
      <w:r>
        <w:rPr>
          <w:rFonts w:hint="eastAsia"/>
        </w:rPr>
        <w:t>（二）招标文件</w:t>
      </w:r>
      <w:bookmarkEnd w:id="7"/>
    </w:p>
    <w:p>
      <w:pPr>
        <w:pStyle w:val="5"/>
        <w:ind w:left="0"/>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ind w:left="0"/>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ind w:left="0"/>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numPr>
          <w:ilvl w:val="0"/>
          <w:numId w:val="0"/>
        </w:numPr>
      </w:pPr>
      <w:bookmarkStart w:id="8" w:name="_Toc395611382"/>
      <w:r>
        <w:rPr>
          <w:rFonts w:hint="eastAsia"/>
        </w:rPr>
        <w:t>（三）投标文件的编制</w:t>
      </w:r>
      <w:bookmarkEnd w:id="8"/>
    </w:p>
    <w:p>
      <w:pPr>
        <w:pStyle w:val="5"/>
        <w:ind w:left="0"/>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ind w:left="0"/>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8"/>
        <w:ind w:firstLine="422" w:firstLineChars="200"/>
        <w:rPr>
          <w:b/>
          <w:bCs/>
        </w:rPr>
      </w:pPr>
      <w:r>
        <w:rPr>
          <w:rFonts w:hint="eastAsia"/>
          <w:b/>
          <w:bCs/>
        </w:rPr>
        <w:t>承诺书</w:t>
      </w:r>
      <w:r>
        <w:rPr>
          <w:b/>
          <w:bCs/>
        </w:rPr>
        <w:t>：</w:t>
      </w:r>
      <w:r>
        <w:rPr>
          <w:rFonts w:hint="eastAsia"/>
          <w:b/>
          <w:bCs/>
        </w:rPr>
        <w:t>投标人在近三年内</w:t>
      </w:r>
      <w:r>
        <w:rPr>
          <w:rFonts w:hint="eastAsia"/>
          <w:b/>
          <w:bCs/>
          <w:color w:val="FF0000"/>
        </w:rPr>
        <w:t>（201</w:t>
      </w:r>
      <w:r>
        <w:rPr>
          <w:b/>
          <w:bCs/>
          <w:color w:val="FF0000"/>
        </w:rPr>
        <w:t>7</w:t>
      </w:r>
      <w:r>
        <w:rPr>
          <w:rFonts w:hint="eastAsia"/>
          <w:b/>
          <w:bCs/>
          <w:color w:val="FF0000"/>
        </w:rPr>
        <w:t>年</w:t>
      </w:r>
      <w:r>
        <w:rPr>
          <w:b/>
          <w:bCs/>
          <w:color w:val="FF0000"/>
        </w:rPr>
        <w:t>10</w:t>
      </w:r>
      <w:r>
        <w:rPr>
          <w:rFonts w:hint="eastAsia"/>
          <w:b/>
          <w:bCs/>
          <w:color w:val="FF0000"/>
        </w:rPr>
        <w:t>月-20</w:t>
      </w:r>
      <w:r>
        <w:rPr>
          <w:b/>
          <w:bCs/>
          <w:color w:val="FF0000"/>
        </w:rPr>
        <w:t>20</w:t>
      </w:r>
      <w:r>
        <w:rPr>
          <w:rFonts w:hint="eastAsia"/>
          <w:b/>
          <w:bCs/>
          <w:color w:val="FF0000"/>
        </w:rPr>
        <w:t>年</w:t>
      </w:r>
      <w:r>
        <w:rPr>
          <w:b/>
          <w:bCs/>
          <w:color w:val="FF0000"/>
        </w:rPr>
        <w:t>09</w:t>
      </w:r>
      <w:r>
        <w:rPr>
          <w:rFonts w:hint="eastAsia"/>
          <w:b/>
          <w:bCs/>
          <w:color w:val="FF0000"/>
        </w:rPr>
        <w:t>月）</w:t>
      </w:r>
      <w:r>
        <w:rPr>
          <w:rFonts w:hint="eastAsia"/>
          <w:b/>
          <w:bCs/>
        </w:rPr>
        <w:t>没有骗取中标和严重违约及重大工程质量问题；参加本采购活动前三年内，在经营活动中没有重大违法记录；</w:t>
      </w:r>
    </w:p>
    <w:p>
      <w:pPr>
        <w:pStyle w:val="8"/>
        <w:ind w:firstLine="422" w:firstLineChars="200"/>
        <w:rPr>
          <w:b/>
          <w:bCs/>
        </w:rPr>
      </w:pPr>
      <w:r>
        <w:rPr>
          <w:rFonts w:hint="eastAsia"/>
          <w:b/>
          <w:bCs/>
        </w:rPr>
        <w:t>拟派项目经理学历证书、</w:t>
      </w:r>
      <w:r>
        <w:rPr>
          <w:b/>
          <w:bCs/>
        </w:rPr>
        <w:t>资格证书</w:t>
      </w:r>
      <w:r>
        <w:rPr>
          <w:rFonts w:hint="eastAsia"/>
          <w:b/>
          <w:bCs/>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9"/>
        <w:numPr>
          <w:ilvl w:val="0"/>
          <w:numId w:val="0"/>
        </w:numPr>
        <w:ind w:firstLine="420" w:firstLineChars="200"/>
        <w:rPr>
          <w:rFonts w:ascii="Times New Roman" w:hAnsi="Times New Roman"/>
          <w:snapToGrid/>
          <w:kern w:val="2"/>
          <w:sz w:val="21"/>
        </w:rPr>
      </w:pPr>
      <w:r>
        <w:rPr>
          <w:rFonts w:hint="eastAsia" w:ascii="Times New Roman" w:hAnsi="Times New Roman"/>
          <w:snapToGrid/>
          <w:kern w:val="2"/>
          <w:sz w:val="21"/>
        </w:rPr>
        <w:t>（</w:t>
      </w:r>
      <w:r>
        <w:rPr>
          <w:rFonts w:ascii="Times New Roman" w:hAnsi="Times New Roman"/>
          <w:snapToGrid/>
          <w:kern w:val="2"/>
          <w:sz w:val="21"/>
        </w:rPr>
        <w:t>10）</w:t>
      </w:r>
      <w:r>
        <w:rPr>
          <w:rFonts w:hint="eastAsia" w:ascii="Times New Roman" w:hAnsi="Times New Roman"/>
          <w:snapToGrid/>
          <w:kern w:val="2"/>
          <w:sz w:val="21"/>
        </w:rPr>
        <w:t>主要材料选型表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ind w:firstLine="420" w:firstLineChars="200"/>
      </w:pPr>
      <w:r>
        <w:rPr>
          <w:rFonts w:hint="eastAsia"/>
        </w:rPr>
        <w:t>（</w:t>
      </w:r>
      <w:r>
        <w:t>3）</w:t>
      </w:r>
      <w:r>
        <w:rPr>
          <w:rFonts w:hint="eastAsia"/>
        </w:rPr>
        <w:t>计划开、竣工日期和施工进度网络图（必须提交网络图），施工进度的保证措施；</w:t>
      </w:r>
    </w:p>
    <w:p>
      <w:pPr>
        <w:pStyle w:val="8"/>
        <w:ind w:firstLine="420" w:firstLineChars="200"/>
      </w:pPr>
      <w:r>
        <w:rPr>
          <w:rFonts w:hint="eastAsia"/>
        </w:rPr>
        <w:t>（</w:t>
      </w:r>
      <w:r>
        <w:t>4）</w:t>
      </w:r>
      <w:r>
        <w:rPr>
          <w:rFonts w:hint="eastAsia"/>
        </w:rPr>
        <w:t>针对本工程的施工技术方案、重点难点方案，施工质量的保证措施；</w:t>
      </w:r>
    </w:p>
    <w:p>
      <w:pPr>
        <w:pStyle w:val="8"/>
        <w:ind w:firstLine="420" w:firstLineChars="200"/>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ind w:left="0"/>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ind w:left="0"/>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rPr>
          <w:b/>
          <w:bCs/>
        </w:rPr>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bCs/>
        </w:rPr>
        <w:t>建设工程合同采用固定总价合同，固</w:t>
      </w:r>
      <w:r>
        <w:rPr>
          <w:b/>
          <w:bCs/>
        </w:rPr>
        <w:t>定总价</w:t>
      </w:r>
      <w:r>
        <w:rPr>
          <w:rFonts w:hint="eastAsia"/>
          <w:b/>
          <w:bCs/>
        </w:rPr>
        <w:t>即投</w:t>
      </w:r>
      <w:r>
        <w:rPr>
          <w:b/>
          <w:bCs/>
        </w:rPr>
        <w:t>标总价</w:t>
      </w:r>
      <w:r>
        <w:rPr>
          <w:rFonts w:hint="eastAsia"/>
          <w:b/>
          <w:bCs/>
        </w:rPr>
        <w:t>是</w:t>
      </w:r>
      <w:r>
        <w:rPr>
          <w:b/>
          <w:bCs/>
        </w:rPr>
        <w:t>约定范围内工程量以及为完成该工程量而实施</w:t>
      </w:r>
      <w:r>
        <w:rPr>
          <w:rFonts w:ascii="Arial" w:hAnsi="Arial" w:cs="Arial"/>
          <w:b/>
          <w:bCs/>
          <w:color w:val="333333"/>
          <w:szCs w:val="21"/>
        </w:rPr>
        <w:t>的全部工作的总价款。招标文件中确定的工程项目</w:t>
      </w:r>
      <w:r>
        <w:rPr>
          <w:rFonts w:hint="eastAsia" w:ascii="Arial" w:hAnsi="Arial" w:cs="Arial"/>
          <w:b/>
          <w:bCs/>
          <w:color w:val="333333"/>
          <w:szCs w:val="21"/>
        </w:rPr>
        <w:t>招标</w:t>
      </w:r>
      <w:r>
        <w:rPr>
          <w:rFonts w:ascii="Arial" w:hAnsi="Arial" w:cs="Arial"/>
          <w:b/>
          <w:bCs/>
          <w:color w:val="333333"/>
          <w:szCs w:val="21"/>
        </w:rPr>
        <w:t>范围、工程量清单不予调整</w:t>
      </w:r>
      <w:r>
        <w:rPr>
          <w:rFonts w:hint="eastAsia" w:ascii="Arial" w:hAnsi="Arial" w:cs="Arial"/>
          <w:b/>
          <w:bCs/>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left"/>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pStyle w:val="5"/>
        <w:ind w:left="0"/>
      </w:pPr>
      <w:r>
        <w:rPr>
          <w:rFonts w:hint="eastAsia"/>
        </w:rPr>
        <w:t>投标货币</w:t>
      </w:r>
    </w:p>
    <w:p>
      <w:pPr>
        <w:pStyle w:val="6"/>
      </w:pPr>
      <w:r>
        <w:rPr>
          <w:rFonts w:hint="eastAsia"/>
        </w:rPr>
        <w:t>本工程投标报价采用的币种为人民币。</w:t>
      </w:r>
    </w:p>
    <w:p>
      <w:pPr>
        <w:pStyle w:val="5"/>
        <w:ind w:left="0"/>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numPr>
          <w:ilvl w:val="0"/>
          <w:numId w:val="0"/>
        </w:numPr>
      </w:pPr>
      <w:bookmarkStart w:id="9" w:name="_Toc395611383"/>
      <w:r>
        <w:rPr>
          <w:rFonts w:hint="eastAsia"/>
        </w:rPr>
        <w:t>（四）投标文件的提交</w:t>
      </w:r>
      <w:bookmarkEnd w:id="9"/>
    </w:p>
    <w:p>
      <w:pPr>
        <w:pStyle w:val="5"/>
        <w:ind w:left="0"/>
      </w:pPr>
      <w:r>
        <w:rPr>
          <w:rFonts w:hint="eastAsia"/>
        </w:rPr>
        <w:t>投标文件的装订、密封和标记</w:t>
      </w:r>
    </w:p>
    <w:p>
      <w:pPr>
        <w:pStyle w:val="5"/>
        <w:numPr>
          <w:ilvl w:val="0"/>
          <w:numId w:val="0"/>
        </w:numPr>
      </w:pPr>
      <w:r>
        <w:t>17</w:t>
      </w:r>
      <w:r>
        <w:rPr>
          <w:rFonts w:hint="eastAsia"/>
        </w:rPr>
        <w:t>.1投标文件的装订要求</w:t>
      </w:r>
    </w:p>
    <w:p>
      <w:pPr>
        <w:pStyle w:val="5"/>
        <w:numPr>
          <w:ilvl w:val="0"/>
          <w:numId w:val="0"/>
        </w:numPr>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pPr>
      <w:r>
        <w:t>17</w:t>
      </w:r>
      <w:r>
        <w:rPr>
          <w:rFonts w:hint="eastAsia"/>
        </w:rPr>
        <w:t>.3</w:t>
      </w:r>
      <w:r>
        <w:t>投标文件的包装</w:t>
      </w:r>
      <w:r>
        <w:rPr>
          <w:rFonts w:hint="eastAsia"/>
        </w:rPr>
        <w:t>由投标人自制</w:t>
      </w:r>
      <w:r>
        <w:t>投标文件密封袋（箱），当一个投标袋（箱）不能满足投标文件的封装要求时，招标人应允许投标人使用同一规格的其他密封袋（箱）进行封装。</w:t>
      </w:r>
    </w:p>
    <w:p>
      <w:pPr>
        <w:pStyle w:val="5"/>
        <w:numPr>
          <w:ilvl w:val="0"/>
          <w:numId w:val="0"/>
        </w:numPr>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ind w:left="0"/>
      </w:pPr>
      <w:r>
        <w:rPr>
          <w:rFonts w:hint="eastAsia"/>
        </w:rPr>
        <w:t>投标文件的提交</w:t>
      </w:r>
    </w:p>
    <w:p>
      <w:pPr>
        <w:pStyle w:val="6"/>
        <w:numPr>
          <w:ilvl w:val="0"/>
          <w:numId w:val="0"/>
        </w:numPr>
      </w:pPr>
      <w:r>
        <w:rPr>
          <w:rFonts w:hint="eastAsia"/>
        </w:rPr>
        <w:t>18.1投标人应按本须知前附表第</w:t>
      </w:r>
      <w:r>
        <w:t>14</w:t>
      </w:r>
      <w:r>
        <w:rPr>
          <w:rFonts w:hint="eastAsia"/>
        </w:rPr>
        <w:t>项所规定的地点，于截止时间前提交投标文件。</w:t>
      </w:r>
    </w:p>
    <w:p>
      <w:pPr>
        <w:pStyle w:val="5"/>
        <w:ind w:left="0"/>
      </w:pPr>
      <w:r>
        <w:rPr>
          <w:rFonts w:hint="eastAsia"/>
        </w:rPr>
        <w:t>投标文件提交的截止时间</w:t>
      </w:r>
    </w:p>
    <w:p>
      <w:pPr>
        <w:pStyle w:val="6"/>
        <w:numPr>
          <w:ilvl w:val="0"/>
          <w:numId w:val="0"/>
        </w:numPr>
      </w:pPr>
      <w:r>
        <w:rPr>
          <w:rFonts w:hint="eastAsia"/>
        </w:rPr>
        <w:t>19.1投标文件的截止时间见本须知前附表第</w:t>
      </w:r>
      <w:r>
        <w:t>14</w:t>
      </w:r>
      <w:r>
        <w:rPr>
          <w:rFonts w:hint="eastAsia"/>
        </w:rPr>
        <w:t>项规定。</w:t>
      </w:r>
    </w:p>
    <w:p>
      <w:pPr>
        <w:pStyle w:val="6"/>
        <w:numPr>
          <w:ilvl w:val="0"/>
          <w:numId w:val="0"/>
        </w:numPr>
      </w:pPr>
      <w:r>
        <w:rPr>
          <w:rFonts w:hint="eastAsia"/>
        </w:rPr>
        <w:t>19.2招标人可按本须知第9条规定以修改补充通知的方式，酌情延长提交投标文件的截止时间。在此情况下，投标人的所有权利和义务以及投标人受制约的截止时间，均以延长后新的投标截止时间为准。</w:t>
      </w:r>
    </w:p>
    <w:p>
      <w:pPr>
        <w:pStyle w:val="6"/>
        <w:numPr>
          <w:ilvl w:val="0"/>
          <w:numId w:val="0"/>
        </w:numPr>
      </w:pPr>
      <w:r>
        <w:rPr>
          <w:rFonts w:hint="eastAsia"/>
        </w:rPr>
        <w:t>19.3到投标截止时间 止，招标人收到的投标文件少于3个的，招标人将依法重新组织招标。</w:t>
      </w:r>
    </w:p>
    <w:p>
      <w:pPr>
        <w:pStyle w:val="5"/>
        <w:ind w:left="0"/>
      </w:pPr>
      <w:r>
        <w:rPr>
          <w:rFonts w:hint="eastAsia"/>
        </w:rPr>
        <w:t>迟交的投标文件</w:t>
      </w:r>
    </w:p>
    <w:p>
      <w:pPr>
        <w:pStyle w:val="6"/>
        <w:numPr>
          <w:ilvl w:val="0"/>
          <w:numId w:val="0"/>
        </w:numPr>
      </w:pPr>
      <w:r>
        <w:rPr>
          <w:rFonts w:hint="eastAsia"/>
        </w:rPr>
        <w:t>20.1招标人在本须知第</w:t>
      </w:r>
      <w:r>
        <w:t>18</w:t>
      </w:r>
      <w:r>
        <w:rPr>
          <w:rFonts w:hint="eastAsia"/>
        </w:rPr>
        <w:t>条规定的投标截止时间以后收到的投标文件，将被拒绝并退回给投标人。</w:t>
      </w:r>
    </w:p>
    <w:p>
      <w:pPr>
        <w:pStyle w:val="5"/>
        <w:ind w:left="0"/>
      </w:pPr>
      <w:r>
        <w:rPr>
          <w:rFonts w:hint="eastAsia"/>
        </w:rPr>
        <w:t>投标文件的补充、修改与撤回</w:t>
      </w:r>
    </w:p>
    <w:p>
      <w:pPr>
        <w:pStyle w:val="6"/>
        <w:numPr>
          <w:ilvl w:val="0"/>
          <w:numId w:val="0"/>
        </w:numPr>
      </w:pPr>
      <w:r>
        <w:rPr>
          <w:rFonts w:hint="eastAsia"/>
        </w:rPr>
        <w:t>21.1投标人在提交投标文件以后，在规定的投标截止时间之前，可以书面形式补充修改或撤回已提交的投标文件，并以书面形式通知招标人。补充、修改的内容为投标文件的组成部分。</w:t>
      </w:r>
    </w:p>
    <w:p>
      <w:pPr>
        <w:pStyle w:val="6"/>
        <w:numPr>
          <w:ilvl w:val="0"/>
          <w:numId w:val="0"/>
        </w:numPr>
      </w:pPr>
      <w:r>
        <w:rPr>
          <w:rFonts w:hint="eastAsia"/>
        </w:rPr>
        <w:t>21.2投标人对投标文件的补充、修改，应按本须知第1</w:t>
      </w:r>
      <w:r>
        <w:t>7</w:t>
      </w:r>
      <w:r>
        <w:rPr>
          <w:rFonts w:hint="eastAsia"/>
        </w:rPr>
        <w:t>条有关规定密封、标记和提交，并在内外层投标文件密封袋上清楚标明“补充、修改”或“撤回”字样。</w:t>
      </w:r>
    </w:p>
    <w:p>
      <w:pPr>
        <w:pStyle w:val="6"/>
        <w:numPr>
          <w:ilvl w:val="0"/>
          <w:numId w:val="0"/>
        </w:numPr>
      </w:pPr>
      <w:r>
        <w:rPr>
          <w:rFonts w:hint="eastAsia"/>
        </w:rPr>
        <w:t>21.3在投标截止时间之后，投标人不得补充、修改投标文件。</w:t>
      </w:r>
    </w:p>
    <w:p>
      <w:pPr>
        <w:pStyle w:val="6"/>
        <w:numPr>
          <w:ilvl w:val="0"/>
          <w:numId w:val="0"/>
        </w:numPr>
      </w:pPr>
      <w:r>
        <w:rPr>
          <w:rFonts w:hint="eastAsia"/>
        </w:rPr>
        <w:t>21.4在投标截止时间至投标有效期满之前，投标人不得撤回其投标文件，否则其投标保证金将被没收。</w:t>
      </w:r>
    </w:p>
    <w:p>
      <w:pPr>
        <w:pStyle w:val="7"/>
      </w:pPr>
    </w:p>
    <w:p>
      <w:pPr>
        <w:ind w:firstLine="420"/>
      </w:pPr>
    </w:p>
    <w:p>
      <w:pPr>
        <w:pStyle w:val="4"/>
        <w:numPr>
          <w:ilvl w:val="0"/>
          <w:numId w:val="4"/>
        </w:numPr>
      </w:pPr>
      <w:bookmarkStart w:id="10" w:name="_Toc395611384"/>
      <w:r>
        <w:rPr>
          <w:rFonts w:hint="eastAsia"/>
        </w:rPr>
        <w:t>开标</w:t>
      </w:r>
      <w:bookmarkEnd w:id="10"/>
    </w:p>
    <w:p>
      <w:pPr>
        <w:pStyle w:val="5"/>
        <w:ind w:left="0"/>
      </w:pPr>
      <w:r>
        <w:rPr>
          <w:rFonts w:hint="eastAsia"/>
        </w:rPr>
        <w:t>开标</w:t>
      </w:r>
    </w:p>
    <w:p>
      <w:pPr>
        <w:pStyle w:val="6"/>
        <w:numPr>
          <w:ilvl w:val="0"/>
          <w:numId w:val="0"/>
        </w:numPr>
      </w:pPr>
      <w:r>
        <w:rPr>
          <w:rFonts w:hint="eastAsia"/>
        </w:rPr>
        <w:t>22.1招标人按本须知前附表第15项所规定的时间和地点公开开标，并邀请合格投标人参加。</w:t>
      </w:r>
    </w:p>
    <w:p>
      <w:pPr>
        <w:pStyle w:val="6"/>
        <w:numPr>
          <w:ilvl w:val="0"/>
          <w:numId w:val="0"/>
        </w:numPr>
      </w:pPr>
      <w:r>
        <w:rPr>
          <w:rFonts w:hint="eastAsia"/>
        </w:rPr>
        <w:t>22.2按规定提交合格的撤回通知的投标文件不予开封，并退回给投标人，按本须知第2</w:t>
      </w:r>
      <w:r>
        <w:t>0</w:t>
      </w:r>
      <w:r>
        <w:rPr>
          <w:rFonts w:hint="eastAsia"/>
        </w:rPr>
        <w:t>.1.条规定确定为无效的投标文件，不予送交评审。</w:t>
      </w:r>
    </w:p>
    <w:p>
      <w:pPr>
        <w:pStyle w:val="6"/>
        <w:numPr>
          <w:ilvl w:val="0"/>
          <w:numId w:val="0"/>
        </w:numPr>
      </w:pPr>
      <w:r>
        <w:rPr>
          <w:rFonts w:hint="eastAsia"/>
        </w:rPr>
        <w:t>22.3开标程序：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ind w:left="0"/>
      </w:pPr>
      <w:r>
        <w:rPr>
          <w:rFonts w:hint="eastAsia"/>
        </w:rPr>
        <w:t>投标文件的有效性（所有投标人如在投标文件中有与此部分内容不符、抵触的均会被招标人视为未能实质上响应招标文件而做否决投标处理）</w:t>
      </w:r>
    </w:p>
    <w:p>
      <w:pPr>
        <w:pStyle w:val="6"/>
        <w:numPr>
          <w:ilvl w:val="0"/>
          <w:numId w:val="0"/>
        </w:numPr>
      </w:pPr>
      <w:r>
        <w:rPr>
          <w:rFonts w:hint="eastAsia"/>
        </w:rPr>
        <w:t>23.1开标时，投标文件出现下列情形之一的，应当作为无效投标文件，不得进入评标：</w:t>
      </w:r>
    </w:p>
    <w:p>
      <w:pPr>
        <w:pStyle w:val="6"/>
        <w:numPr>
          <w:ilvl w:val="0"/>
          <w:numId w:val="0"/>
        </w:numPr>
      </w:pPr>
      <w:r>
        <w:rPr>
          <w:rFonts w:hint="eastAsia"/>
        </w:rPr>
        <w:t>23.2投标文件未按照本须知第1</w:t>
      </w:r>
      <w:r>
        <w:t>7</w:t>
      </w:r>
      <w:r>
        <w:rPr>
          <w:rFonts w:hint="eastAsia"/>
        </w:rPr>
        <w:t>条的要求装订、密封和标记的；投标文件逾期送达或者未送达指定地点。</w:t>
      </w:r>
    </w:p>
    <w:p>
      <w:pPr>
        <w:pStyle w:val="6"/>
        <w:numPr>
          <w:ilvl w:val="0"/>
          <w:numId w:val="0"/>
        </w:numPr>
      </w:pPr>
      <w:r>
        <w:rPr>
          <w:rFonts w:hint="eastAsia"/>
        </w:rPr>
        <w:t>23.3根据现行相关法律法规的规定，应当由评标委员会进行评审确定予以否决投标的条件：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numPr>
          <w:ilvl w:val="0"/>
          <w:numId w:val="0"/>
        </w:numPr>
      </w:pPr>
      <w:r>
        <w:rPr>
          <w:rFonts w:hint="eastAsia"/>
        </w:rPr>
        <w:t>23.4其他否决投标的条件：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numPr>
          <w:ilvl w:val="0"/>
          <w:numId w:val="0"/>
        </w:numPr>
      </w:pPr>
      <w:bookmarkStart w:id="11" w:name="_Toc395611385"/>
      <w:r>
        <w:rPr>
          <w:rFonts w:hint="eastAsia"/>
        </w:rPr>
        <w:t>（六）评标</w:t>
      </w:r>
      <w:bookmarkEnd w:id="11"/>
    </w:p>
    <w:p>
      <w:pPr>
        <w:pStyle w:val="5"/>
        <w:ind w:left="0"/>
      </w:pPr>
      <w:r>
        <w:rPr>
          <w:rFonts w:hint="eastAsia"/>
        </w:rPr>
        <w:t>评标委员会与评标</w:t>
      </w:r>
    </w:p>
    <w:p>
      <w:pPr>
        <w:pStyle w:val="6"/>
        <w:numPr>
          <w:ilvl w:val="0"/>
          <w:numId w:val="0"/>
        </w:numPr>
      </w:pPr>
      <w:r>
        <w:rPr>
          <w:rFonts w:hint="eastAsia"/>
        </w:rPr>
        <w:t>24.1评标委员会由招标人依法组建，负责评标活动。</w:t>
      </w:r>
    </w:p>
    <w:p>
      <w:pPr>
        <w:pStyle w:val="6"/>
        <w:numPr>
          <w:ilvl w:val="0"/>
          <w:numId w:val="0"/>
        </w:numPr>
      </w:pPr>
      <w:r>
        <w:rPr>
          <w:rFonts w:hint="eastAsia"/>
        </w:rPr>
        <w:t>24.2开标结束后，开始评标，评标按有关规定进行。</w:t>
      </w:r>
    </w:p>
    <w:p>
      <w:pPr>
        <w:pStyle w:val="5"/>
        <w:ind w:left="0"/>
      </w:pPr>
      <w:r>
        <w:rPr>
          <w:rFonts w:hint="eastAsia"/>
        </w:rPr>
        <w:t>评标过程的保密</w:t>
      </w:r>
    </w:p>
    <w:p>
      <w:pPr>
        <w:pStyle w:val="6"/>
        <w:numPr>
          <w:ilvl w:val="0"/>
          <w:numId w:val="0"/>
        </w:numPr>
      </w:pPr>
      <w:r>
        <w:rPr>
          <w:rFonts w:hint="eastAsia"/>
        </w:rPr>
        <w:t>25.1开标后，直至授予中标人合同为止，凡属于对投标文件的审查、澄清、评价和比较的有关资料以及中标候选人的推荐情况，与评标有关的其他任何情况均严格保密。</w:t>
      </w:r>
    </w:p>
    <w:p>
      <w:pPr>
        <w:pStyle w:val="6"/>
        <w:numPr>
          <w:ilvl w:val="0"/>
          <w:numId w:val="0"/>
        </w:numPr>
      </w:pPr>
      <w:r>
        <w:rPr>
          <w:rFonts w:hint="eastAsia"/>
        </w:rPr>
        <w:t>25.2在投标文件的评审和比较、中标候选人推荐以及授予合同的过程中，投标人向招标人和评标委员会施加影响的任何行为，都将会导致其投标被拒绝。</w:t>
      </w:r>
    </w:p>
    <w:p>
      <w:pPr>
        <w:pStyle w:val="6"/>
        <w:numPr>
          <w:ilvl w:val="0"/>
          <w:numId w:val="0"/>
        </w:numPr>
      </w:pPr>
      <w:r>
        <w:rPr>
          <w:rFonts w:hint="eastAsia"/>
        </w:rPr>
        <w:t>25.3中标人确定后，招标人不对未中标人就评标过程以及未能中标原因做出任何解释。未中标人不得向评标委员会组成人员或其他有关人员索问评标过程的情况和材料。</w:t>
      </w:r>
    </w:p>
    <w:p>
      <w:pPr>
        <w:pStyle w:val="5"/>
        <w:ind w:left="0"/>
      </w:pPr>
      <w:r>
        <w:rPr>
          <w:rFonts w:hint="eastAsia"/>
        </w:rPr>
        <w:t>投标文件的澄清</w:t>
      </w:r>
    </w:p>
    <w:p>
      <w:pPr>
        <w:pStyle w:val="6"/>
        <w:numPr>
          <w:ilvl w:val="0"/>
          <w:numId w:val="0"/>
        </w:numPr>
      </w:pPr>
      <w:r>
        <w:rPr>
          <w:rFonts w:hint="eastAsia"/>
        </w:rPr>
        <w:t>26.1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ind w:left="0"/>
      </w:pPr>
      <w:r>
        <w:rPr>
          <w:rFonts w:hint="eastAsia"/>
        </w:rPr>
        <w:t>投标文件的初步评审</w:t>
      </w:r>
    </w:p>
    <w:p>
      <w:pPr>
        <w:pStyle w:val="6"/>
        <w:numPr>
          <w:ilvl w:val="0"/>
          <w:numId w:val="0"/>
        </w:numPr>
      </w:pPr>
      <w:r>
        <w:rPr>
          <w:rFonts w:hint="eastAsia"/>
        </w:rPr>
        <w:t>27.1开标后，经招标人审查符合本须知第</w:t>
      </w:r>
      <w:r>
        <w:t>22</w:t>
      </w:r>
      <w:r>
        <w:rPr>
          <w:rFonts w:hint="eastAsia"/>
        </w:rPr>
        <w:t>条有关规定的投标文件，才能提交评标委员会进行评审。</w:t>
      </w:r>
    </w:p>
    <w:p>
      <w:pPr>
        <w:pStyle w:val="6"/>
        <w:numPr>
          <w:ilvl w:val="0"/>
          <w:numId w:val="0"/>
        </w:numPr>
      </w:pPr>
      <w:r>
        <w:rPr>
          <w:rFonts w:hint="eastAsia"/>
        </w:rPr>
        <w:t>27.2评标时，评标委员会将首先进行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numPr>
          <w:ilvl w:val="0"/>
          <w:numId w:val="0"/>
        </w:numPr>
      </w:pPr>
      <w:r>
        <w:rPr>
          <w:rFonts w:hint="eastAsia"/>
        </w:rPr>
        <w:t>27.3如果投标文件实质上不响应招标文件的各项要求，评标委员会将予以拒绝，并且不允许投标人通过修改或撤销其不符合要求的差异或保留，使之成为具有响应性的投标。</w:t>
      </w:r>
    </w:p>
    <w:p>
      <w:pPr>
        <w:pStyle w:val="5"/>
        <w:ind w:left="0"/>
      </w:pPr>
      <w:r>
        <w:rPr>
          <w:rFonts w:hint="eastAsia"/>
        </w:rPr>
        <w:t>投标文件计算错误的修正</w:t>
      </w:r>
    </w:p>
    <w:p>
      <w:pPr>
        <w:pStyle w:val="6"/>
        <w:numPr>
          <w:ilvl w:val="0"/>
          <w:numId w:val="0"/>
        </w:numPr>
      </w:pPr>
      <w:r>
        <w:rPr>
          <w:rFonts w:hint="eastAsia"/>
        </w:rPr>
        <w:t>28.1评标委员会将对确定为实质上响应招标文件要求的投标文件进行校核，看其是否有计算或表达上的错误，修正错误的原则如下：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numPr>
          <w:ilvl w:val="0"/>
          <w:numId w:val="0"/>
        </w:numPr>
      </w:pPr>
      <w:r>
        <w:rPr>
          <w:rFonts w:hint="eastAsia"/>
        </w:rPr>
        <w:t>28.2按上述修正错误的原则及方法调整或修正投标文件的投标报价，投标人同意后，调整后的投标报价对投标人起约束作用。如果投标人不接受修正后的报价，则其投标将被拒绝。</w:t>
      </w:r>
    </w:p>
    <w:p>
      <w:pPr>
        <w:pStyle w:val="5"/>
        <w:ind w:left="0"/>
      </w:pPr>
      <w:r>
        <w:rPr>
          <w:rFonts w:hint="eastAsia"/>
        </w:rPr>
        <w:t>投标文件的评审、比较和否决</w:t>
      </w:r>
    </w:p>
    <w:p>
      <w:pPr>
        <w:pStyle w:val="6"/>
        <w:numPr>
          <w:ilvl w:val="0"/>
          <w:numId w:val="0"/>
        </w:numPr>
      </w:pPr>
      <w:r>
        <w:rPr>
          <w:rFonts w:hint="eastAsia"/>
        </w:rPr>
        <w:t>29.1评标委员会将按照本须知第31条规定，仅对在实质上响应招标文件要求的投标文件进行评估和比较。</w:t>
      </w:r>
    </w:p>
    <w:p>
      <w:pPr>
        <w:pStyle w:val="6"/>
        <w:numPr>
          <w:ilvl w:val="0"/>
          <w:numId w:val="0"/>
        </w:numPr>
      </w:pPr>
      <w:r>
        <w:rPr>
          <w:rFonts w:hint="eastAsia"/>
        </w:rPr>
        <w:t>29.2在评审过程中,评标委员会可以书面形式要求投标人就投标文件中含义不明确的内容进行书面说明并提供相关材料。</w:t>
      </w:r>
    </w:p>
    <w:p>
      <w:pPr>
        <w:pStyle w:val="6"/>
        <w:numPr>
          <w:ilvl w:val="0"/>
          <w:numId w:val="0"/>
        </w:numPr>
      </w:pPr>
      <w:r>
        <w:rPr>
          <w:rFonts w:hint="eastAsia"/>
        </w:rPr>
        <w:t>29.3评标委员会依据本须知前附表第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numPr>
          <w:ilvl w:val="0"/>
          <w:numId w:val="0"/>
        </w:numPr>
      </w:pPr>
      <w:r>
        <w:rPr>
          <w:rFonts w:hint="eastAsia"/>
        </w:rPr>
        <w:t>29.4评标方法和标准:</w:t>
      </w:r>
    </w:p>
    <w:p>
      <w:pPr>
        <w:pStyle w:val="7"/>
        <w:ind w:firstLine="420" w:firstLineChars="200"/>
      </w:pPr>
      <w:r>
        <w:rPr>
          <w:rFonts w:hint="eastAsia"/>
        </w:rPr>
        <w:t>详见附件：标评标办法。</w:t>
      </w:r>
    </w:p>
    <w:p>
      <w:pPr>
        <w:pStyle w:val="8"/>
      </w:pPr>
    </w:p>
    <w:p>
      <w:pPr>
        <w:pStyle w:val="4"/>
        <w:numPr>
          <w:ilvl w:val="0"/>
          <w:numId w:val="0"/>
        </w:numPr>
      </w:pPr>
      <w:bookmarkStart w:id="12" w:name="_Toc395611386"/>
      <w:r>
        <w:rPr>
          <w:rFonts w:hint="eastAsia"/>
        </w:rPr>
        <w:t>（七）合同的授予</w:t>
      </w:r>
      <w:bookmarkEnd w:id="12"/>
    </w:p>
    <w:p>
      <w:pPr>
        <w:pStyle w:val="5"/>
        <w:ind w:left="0"/>
      </w:pPr>
      <w:r>
        <w:rPr>
          <w:rFonts w:hint="eastAsia"/>
        </w:rPr>
        <w:t>合同授予标准</w:t>
      </w:r>
    </w:p>
    <w:p>
      <w:pPr>
        <w:pStyle w:val="6"/>
        <w:numPr>
          <w:ilvl w:val="0"/>
          <w:numId w:val="0"/>
        </w:numPr>
      </w:pPr>
      <w:r>
        <w:rPr>
          <w:rFonts w:hint="eastAsia"/>
        </w:rPr>
        <w:t>30.1本招标工程的施工合同将授予按本须知第</w:t>
      </w:r>
      <w:r>
        <w:t>28</w:t>
      </w:r>
      <w:r>
        <w:rPr>
          <w:rFonts w:hint="eastAsia"/>
        </w:rPr>
        <w:t>.3款所确定的中标人。</w:t>
      </w:r>
    </w:p>
    <w:p>
      <w:pPr>
        <w:pStyle w:val="5"/>
        <w:ind w:left="0"/>
      </w:pPr>
      <w:r>
        <w:rPr>
          <w:rFonts w:hint="eastAsia"/>
        </w:rPr>
        <w:t>招标人拒绝投标的权力</w:t>
      </w:r>
    </w:p>
    <w:p>
      <w:pPr>
        <w:pStyle w:val="6"/>
        <w:numPr>
          <w:ilvl w:val="0"/>
          <w:numId w:val="0"/>
        </w:numPr>
      </w:pPr>
      <w:r>
        <w:rPr>
          <w:rFonts w:hint="eastAsia"/>
        </w:rPr>
        <w:t>31.1招标人不承诺将合同授予报价最低的投标人。招标人在发出中标通知书前，有权依据评标委员会的评标报告拒绝不合格的投标。</w:t>
      </w:r>
    </w:p>
    <w:p>
      <w:pPr>
        <w:pStyle w:val="5"/>
        <w:ind w:left="0"/>
      </w:pPr>
      <w:r>
        <w:rPr>
          <w:rFonts w:hint="eastAsia"/>
        </w:rPr>
        <w:t>中标通知书</w:t>
      </w:r>
    </w:p>
    <w:p>
      <w:pPr>
        <w:pStyle w:val="6"/>
        <w:numPr>
          <w:ilvl w:val="0"/>
          <w:numId w:val="0"/>
        </w:numPr>
      </w:pPr>
      <w:r>
        <w:rPr>
          <w:rFonts w:hint="eastAsia"/>
        </w:rPr>
        <w:t>32.1招标人根据有关规定对拟中标人进行公告，并同时</w:t>
      </w:r>
      <w:r>
        <w:t>发出</w:t>
      </w:r>
      <w:r>
        <w:rPr>
          <w:rFonts w:hint="eastAsia"/>
        </w:rPr>
        <w:t>中标通知书。</w:t>
      </w:r>
    </w:p>
    <w:p>
      <w:pPr>
        <w:pStyle w:val="6"/>
        <w:numPr>
          <w:ilvl w:val="0"/>
          <w:numId w:val="0"/>
        </w:numPr>
      </w:pPr>
      <w:r>
        <w:rPr>
          <w:rFonts w:hint="eastAsia"/>
        </w:rPr>
        <w:t>32.2招标人将在发出中标通知书的同时,将中标结果以书面形式通知所有未中标的投标人。</w:t>
      </w:r>
    </w:p>
    <w:p>
      <w:pPr>
        <w:pStyle w:val="5"/>
        <w:ind w:left="0"/>
      </w:pPr>
      <w:r>
        <w:rPr>
          <w:rFonts w:hint="eastAsia"/>
        </w:rPr>
        <w:t>合同协议书的签订</w:t>
      </w:r>
    </w:p>
    <w:p>
      <w:pPr>
        <w:pStyle w:val="6"/>
        <w:numPr>
          <w:ilvl w:val="0"/>
          <w:numId w:val="0"/>
        </w:numPr>
      </w:pPr>
      <w:r>
        <w:rPr>
          <w:rFonts w:hint="eastAsia"/>
        </w:rPr>
        <w:t>33.1招标人与中标人将于中标通知书发出之日起30日内，按照招标文件和中标人的投标文件订立书面工程施工合同。</w:t>
      </w:r>
    </w:p>
    <w:p>
      <w:pPr>
        <w:pStyle w:val="6"/>
        <w:numPr>
          <w:ilvl w:val="0"/>
          <w:numId w:val="0"/>
        </w:numPr>
      </w:pPr>
      <w:r>
        <w:rPr>
          <w:rFonts w:hint="eastAsia"/>
        </w:rPr>
        <w:t>33.2中标人应当按照合同约定履行义务，完成中标项目施工，不得将中标项目施工转让（转包）给他人。</w:t>
      </w:r>
    </w:p>
    <w:p>
      <w:pPr>
        <w:pStyle w:val="54"/>
        <w:ind w:firstLine="420"/>
      </w:pPr>
      <w:r>
        <w:br w:type="page"/>
      </w:r>
    </w:p>
    <w:p>
      <w:pPr>
        <w:pStyle w:val="54"/>
        <w:ind w:firstLine="420"/>
      </w:pPr>
    </w:p>
    <w:p>
      <w:pPr>
        <w:pStyle w:val="54"/>
        <w:ind w:firstLine="420"/>
      </w:pPr>
    </w:p>
    <w:p>
      <w:pPr>
        <w:pStyle w:val="54"/>
        <w:ind w:firstLine="420"/>
      </w:pPr>
    </w:p>
    <w:p>
      <w:pPr>
        <w:pStyle w:val="54"/>
        <w:ind w:firstLine="420"/>
      </w:pPr>
    </w:p>
    <w:p>
      <w:pPr>
        <w:pStyle w:val="54"/>
        <w:ind w:firstLine="420"/>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422"/>
        <w:jc w:val="center"/>
        <w:rPr>
          <w:b/>
        </w:rPr>
      </w:pPr>
      <w:r>
        <w:rPr>
          <w:rFonts w:hint="eastAsia"/>
          <w:b/>
        </w:rPr>
        <w:t>（以最终签订版为准）</w:t>
      </w:r>
    </w:p>
    <w:p>
      <w:pPr>
        <w:ind w:firstLine="422"/>
        <w:rPr>
          <w:b/>
        </w:rPr>
      </w:pPr>
    </w:p>
    <w:p>
      <w:pPr>
        <w:ind w:firstLine="420"/>
      </w:pPr>
    </w:p>
    <w:p>
      <w:pPr>
        <w:ind w:firstLine="420"/>
      </w:pPr>
    </w:p>
    <w:p>
      <w:pPr>
        <w:ind w:firstLine="420"/>
      </w:pPr>
    </w:p>
    <w:p>
      <w:pPr>
        <w:ind w:firstLine="420"/>
      </w:pPr>
    </w:p>
    <w:p>
      <w:pPr>
        <w:ind w:firstLine="420"/>
      </w:pPr>
    </w:p>
    <w:p>
      <w:pPr>
        <w:pStyle w:val="32"/>
        <w:wordWrap w:val="0"/>
        <w:spacing w:before="192" w:beforeAutospacing="0"/>
        <w:ind w:firstLine="0" w:firstLineChars="0"/>
        <w:rPr>
          <w:szCs w:val="18"/>
        </w:rPr>
      </w:pPr>
    </w:p>
    <w:p>
      <w:pPr>
        <w:pStyle w:val="32"/>
        <w:spacing w:before="0" w:beforeAutospacing="0" w:after="0" w:afterAutospacing="0"/>
        <w:ind w:firstLine="0" w:firstLineChars="0"/>
        <w:rPr>
          <w:szCs w:val="18"/>
        </w:rPr>
      </w:pPr>
      <w:r>
        <w:rPr>
          <w:szCs w:val="18"/>
        </w:rPr>
        <w:br w:type="page"/>
      </w:r>
    </w:p>
    <w:p>
      <w:pPr>
        <w:widowControl/>
        <w:shd w:val="clear" w:color="auto" w:fill="FFFFFF"/>
        <w:spacing w:line="540" w:lineRule="atLeast"/>
        <w:ind w:firstLine="602"/>
        <w:jc w:val="center"/>
        <w:outlineLvl w:val="2"/>
        <w:rPr>
          <w:rFonts w:ascii="宋体" w:hAnsi="宋体" w:cs="宋体"/>
          <w:b/>
          <w:kern w:val="0"/>
          <w:sz w:val="30"/>
          <w:szCs w:val="30"/>
        </w:rPr>
      </w:pPr>
      <w:r>
        <w:rPr>
          <w:rFonts w:hint="eastAsia" w:ascii="宋体" w:hAnsi="宋体" w:cs="宋体"/>
          <w:b/>
          <w:kern w:val="0"/>
          <w:sz w:val="30"/>
          <w:szCs w:val="30"/>
        </w:rPr>
        <w:t>建设工程施工安全责任书</w:t>
      </w:r>
    </w:p>
    <w:p>
      <w:pPr>
        <w:widowControl/>
        <w:shd w:val="clear" w:color="auto" w:fill="FFFFFF"/>
        <w:spacing w:line="390" w:lineRule="atLeast"/>
        <w:ind w:firstLine="422"/>
        <w:jc w:val="left"/>
        <w:rPr>
          <w:rFonts w:ascii="宋体" w:hAnsi="宋体" w:cs="宋体"/>
          <w:b/>
          <w:bCs/>
          <w:kern w:val="0"/>
          <w:szCs w:val="21"/>
        </w:rPr>
      </w:pP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甲方（总包方）：北京清华长庚医院</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 xml:space="preserve">乙方（承包方）：              </w:t>
      </w: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经甲乙双方协商:甲方将</w:t>
      </w:r>
      <w:r>
        <w:rPr>
          <w:rFonts w:hint="eastAsia" w:ascii="宋体" w:hAnsi="宋体" w:cs="宋体"/>
          <w:bCs/>
          <w:kern w:val="0"/>
          <w:szCs w:val="21"/>
          <w:u w:val="single"/>
        </w:rPr>
        <w:t xml:space="preserve">                           </w:t>
      </w:r>
      <w:r>
        <w:rPr>
          <w:rFonts w:hint="eastAsia" w:ascii="宋体" w:hAnsi="宋体" w:cs="宋体"/>
          <w:bCs/>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bCs/>
          <w:kern w:val="0"/>
        </w:rPr>
        <w:t>法规</w:t>
      </w:r>
      <w:r>
        <w:rPr>
          <w:rFonts w:hint="eastAsia" w:ascii="宋体" w:hAnsi="宋体" w:cs="宋体"/>
          <w:bCs/>
          <w:kern w:val="0"/>
        </w:rPr>
        <w:fldChar w:fldCharType="end"/>
      </w:r>
      <w:r>
        <w:rPr>
          <w:rFonts w:hint="eastAsia" w:ascii="宋体" w:hAnsi="宋体" w:cs="宋体"/>
          <w:bCs/>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一、 工程劳务承包方责任</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bCs/>
          <w:kern w:val="0"/>
        </w:rPr>
        <w:t>法律</w:t>
      </w:r>
      <w:r>
        <w:rPr>
          <w:rFonts w:hint="eastAsia" w:ascii="宋体" w:hAnsi="宋体" w:cs="宋体"/>
          <w:bCs/>
          <w:kern w:val="0"/>
        </w:rPr>
        <w:fldChar w:fldCharType="end"/>
      </w:r>
      <w:r>
        <w:rPr>
          <w:rFonts w:hint="eastAsia" w:ascii="宋体" w:hAnsi="宋体" w:cs="宋体"/>
          <w:bCs/>
          <w:kern w:val="0"/>
          <w:szCs w:val="21"/>
        </w:rPr>
        <w:t>、法令、法规及行业规章、规程等管理规定。严格执行现行的“一标准三规范”《建筑施工安全检查标准》（JG59-</w:t>
      </w:r>
      <w:r>
        <w:rPr>
          <w:rFonts w:ascii="宋体" w:hAnsi="宋体" w:cs="宋体"/>
          <w:bCs/>
          <w:kern w:val="0"/>
          <w:szCs w:val="21"/>
        </w:rPr>
        <w:t>2011</w:t>
      </w:r>
      <w:r>
        <w:rPr>
          <w:rFonts w:hint="eastAsia" w:ascii="宋体" w:hAnsi="宋体" w:cs="宋体"/>
          <w:bCs/>
          <w:kern w:val="0"/>
          <w:szCs w:val="21"/>
        </w:rPr>
        <w:t>），《建筑施工高处作业安全技术规范》JGJ80-</w:t>
      </w:r>
      <w:r>
        <w:rPr>
          <w:rFonts w:ascii="宋体" w:hAnsi="宋体" w:cs="宋体"/>
          <w:bCs/>
          <w:kern w:val="0"/>
          <w:szCs w:val="21"/>
        </w:rPr>
        <w:t>2016</w:t>
      </w:r>
      <w:r>
        <w:rPr>
          <w:rFonts w:hint="eastAsia" w:ascii="宋体" w:hAnsi="宋体" w:cs="宋体"/>
          <w:bCs/>
          <w:kern w:val="0"/>
          <w:szCs w:val="21"/>
        </w:rPr>
        <w:t>；《龙门架及井架物料提升机安全技术规范》JGJ88-</w:t>
      </w:r>
      <w:r>
        <w:rPr>
          <w:rFonts w:ascii="宋体" w:hAnsi="宋体" w:cs="宋体"/>
          <w:bCs/>
          <w:kern w:val="0"/>
          <w:szCs w:val="21"/>
        </w:rPr>
        <w:t>2010</w:t>
      </w:r>
      <w:r>
        <w:rPr>
          <w:rFonts w:hint="eastAsia" w:ascii="宋体" w:hAnsi="宋体" w:cs="宋体"/>
          <w:bCs/>
          <w:kern w:val="0"/>
          <w:szCs w:val="21"/>
        </w:rPr>
        <w:t>；《施工现场临时用电安全技术规范》JGJ46-</w:t>
      </w:r>
      <w:r>
        <w:rPr>
          <w:rFonts w:ascii="宋体" w:hAnsi="宋体" w:cs="宋体"/>
          <w:bCs/>
          <w:kern w:val="0"/>
          <w:szCs w:val="21"/>
        </w:rPr>
        <w:t>2005</w:t>
      </w:r>
      <w:r>
        <w:rPr>
          <w:rFonts w:hint="eastAsia" w:ascii="宋体" w:hAnsi="宋体" w:cs="宋体"/>
          <w:bCs/>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二、 发包方责任</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三、 建设工程承包方安全生产目标</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（一） 安全管理目标承诺</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1、 事故管理</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2、 安全管理</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（4）施工现场设专职安全员1人。</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（6）施工现场各类机械，机电设备完好率100%。</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3、安全教育</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bCs/>
          <w:kern w:val="0"/>
          <w:szCs w:val="21"/>
        </w:rPr>
      </w:pPr>
      <w:r>
        <w:rPr>
          <w:rFonts w:hint="eastAsia" w:ascii="宋体" w:hAnsi="宋体" w:cs="宋体"/>
          <w:bCs/>
          <w:kern w:val="0"/>
          <w:szCs w:val="21"/>
        </w:rPr>
        <w:t xml:space="preserve">四、 本责任书一式五份，甲方四份，乙方一份，均具有同等的法律效力。 </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 xml:space="preserve">    </w:t>
      </w:r>
    </w:p>
    <w:p>
      <w:pPr>
        <w:widowControl/>
        <w:shd w:val="clear" w:color="auto" w:fill="FFFFFF"/>
        <w:spacing w:line="390" w:lineRule="atLeast"/>
        <w:ind w:left="202" w:leftChars="96" w:firstLine="58" w:firstLineChars="28"/>
        <w:jc w:val="left"/>
        <w:rPr>
          <w:rFonts w:ascii="宋体" w:hAnsi="宋体" w:cs="宋体"/>
          <w:bCs/>
          <w:kern w:val="0"/>
          <w:szCs w:val="21"/>
        </w:rPr>
      </w:pPr>
    </w:p>
    <w:p>
      <w:pPr>
        <w:widowControl/>
        <w:shd w:val="clear" w:color="auto" w:fill="FFFFFF"/>
        <w:spacing w:line="390" w:lineRule="atLeast"/>
        <w:ind w:left="202" w:leftChars="96" w:firstLine="58" w:firstLineChars="28"/>
        <w:jc w:val="left"/>
        <w:rPr>
          <w:rFonts w:ascii="宋体" w:hAnsi="宋体" w:cs="宋体"/>
          <w:bCs/>
          <w:kern w:val="0"/>
          <w:szCs w:val="21"/>
        </w:rPr>
      </w:pPr>
      <w:r>
        <w:rPr>
          <w:rFonts w:hint="eastAsia" w:ascii="宋体" w:hAnsi="宋体" w:cs="宋体"/>
          <w:bCs/>
          <w:kern w:val="0"/>
          <w:szCs w:val="21"/>
        </w:rPr>
        <w:t>甲方法定代表人：                               乙方法定代表人：</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 xml:space="preserve">现场代表：                                    </w:t>
      </w:r>
      <w:r>
        <w:rPr>
          <w:rFonts w:ascii="宋体" w:hAnsi="宋体" w:cs="宋体"/>
          <w:bCs/>
          <w:kern w:val="0"/>
          <w:szCs w:val="21"/>
        </w:rPr>
        <w:t xml:space="preserve"> </w:t>
      </w:r>
      <w:r>
        <w:rPr>
          <w:rFonts w:hint="eastAsia" w:ascii="宋体" w:hAnsi="宋体" w:cs="宋体"/>
          <w:bCs/>
          <w:kern w:val="0"/>
          <w:szCs w:val="21"/>
        </w:rPr>
        <w:t>现场负责人：</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 xml:space="preserve">    年 月 日                                        年 月 日</w:t>
      </w:r>
    </w:p>
    <w:p>
      <w:pPr>
        <w:ind w:firstLine="480"/>
        <w:rPr>
          <w:bCs/>
          <w:sz w:val="24"/>
        </w:rPr>
      </w:pPr>
    </w:p>
    <w:p>
      <w:pPr>
        <w:ind w:firstLine="480"/>
        <w:rPr>
          <w:bCs/>
          <w:sz w:val="24"/>
        </w:rPr>
      </w:pPr>
      <w:r>
        <w:rPr>
          <w:bCs/>
          <w:sz w:val="24"/>
        </w:rPr>
        <w:br w:type="page"/>
      </w:r>
    </w:p>
    <w:p>
      <w:pPr>
        <w:ind w:firstLine="723"/>
        <w:jc w:val="center"/>
        <w:rPr>
          <w:rFonts w:ascii="Calibri" w:hAnsi="Calibri"/>
          <w:b/>
          <w:bCs/>
          <w:sz w:val="36"/>
          <w:szCs w:val="28"/>
        </w:rPr>
      </w:pPr>
      <w:r>
        <w:rPr>
          <w:rFonts w:hint="eastAsia" w:ascii="Calibri" w:hAnsi="Calibri"/>
          <w:b/>
          <w:bCs/>
          <w:sz w:val="36"/>
          <w:szCs w:val="28"/>
        </w:rPr>
        <w:t>工程建设项目廉政责任书</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 xml:space="preserve">工程项目名称： </w:t>
      </w:r>
      <w:r>
        <w:rPr>
          <w:rFonts w:hint="eastAsia" w:ascii="宋体" w:hAnsi="宋体"/>
          <w:color w:val="FF0000"/>
          <w:szCs w:val="21"/>
        </w:rPr>
        <w:t>北京清华长庚医院急诊风除室改造工程</w:t>
      </w:r>
      <w:r>
        <w:rPr>
          <w:rFonts w:hint="eastAsia" w:ascii="宋体" w:hAnsi="宋体" w:cs="宋体"/>
          <w:bCs/>
          <w:kern w:val="0"/>
          <w:szCs w:val="21"/>
        </w:rPr>
        <w:t xml:space="preserve"> </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工程项目地址：北京清华长庚医院</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建设单位（甲方）：北京清华长庚医院</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 xml:space="preserve">施工单位（乙方）：                          </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第一条　甲乙双方的责任</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第二条　甲方的责任</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第三条　乙方的责任</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第四条　违约责任</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第七条</w:t>
      </w:r>
      <w:r>
        <w:rPr>
          <w:rFonts w:hint="eastAsia" w:ascii="宋体" w:hAnsi="宋体" w:cs="宋体"/>
          <w:bCs/>
          <w:kern w:val="0"/>
          <w:szCs w:val="21"/>
        </w:rPr>
        <w:tab/>
      </w:r>
      <w:r>
        <w:rPr>
          <w:rFonts w:hint="eastAsia" w:ascii="宋体" w:hAnsi="宋体" w:cs="宋体"/>
          <w:bCs/>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甲方单位：（盖章）　　　　　　　　　　乙方单位：（盖章）</w:t>
      </w: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法定代表人：　　　　　　　　　　　　　法定代表人：</w:t>
      </w: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地址：北京市昌平区立汤路168号　　　　地址：</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电话：</w:t>
      </w:r>
      <w:r>
        <w:rPr>
          <w:rFonts w:ascii="宋体" w:hAnsi="宋体" w:cs="宋体"/>
          <w:bCs/>
          <w:kern w:val="0"/>
          <w:szCs w:val="21"/>
        </w:rPr>
        <w:t>010-56118899</w:t>
      </w:r>
      <w:r>
        <w:rPr>
          <w:rFonts w:hint="eastAsia" w:ascii="宋体" w:hAnsi="宋体" w:cs="宋体"/>
          <w:bCs/>
          <w:kern w:val="0"/>
          <w:szCs w:val="21"/>
        </w:rPr>
        <w:t>　　　　　　　　　　电话：</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年　　月　　日　　　　　　            年　　月　　日</w:t>
      </w: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甲方监督单位（盖章）　　　　　　　　　乙方监督单位（盖章）</w:t>
      </w: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p>
    <w:p>
      <w:pPr>
        <w:widowControl/>
        <w:shd w:val="clear" w:color="auto" w:fill="FFFFFF"/>
        <w:spacing w:line="390" w:lineRule="atLeast"/>
        <w:ind w:firstLine="420"/>
        <w:jc w:val="left"/>
        <w:rPr>
          <w:rFonts w:ascii="宋体" w:hAnsi="宋体" w:cs="宋体"/>
          <w:bCs/>
          <w:kern w:val="0"/>
          <w:szCs w:val="21"/>
        </w:rPr>
      </w:pPr>
      <w:r>
        <w:rPr>
          <w:rFonts w:hint="eastAsia" w:ascii="宋体" w:hAnsi="宋体" w:cs="宋体"/>
          <w:bCs/>
          <w:kern w:val="0"/>
          <w:szCs w:val="21"/>
        </w:rPr>
        <w:t>年　　 月　　日　　　　　　　　       年　  月　　 日</w:t>
      </w:r>
    </w:p>
    <w:p>
      <w:pPr>
        <w:pStyle w:val="32"/>
        <w:tabs>
          <w:tab w:val="left" w:pos="540"/>
          <w:tab w:val="left" w:pos="4500"/>
          <w:tab w:val="left" w:pos="4680"/>
        </w:tabs>
        <w:spacing w:before="0" w:beforeAutospacing="0" w:after="0" w:afterAutospacing="0"/>
        <w:ind w:firstLine="480"/>
        <w:rPr>
          <w:bCs/>
          <w:sz w:val="21"/>
          <w:szCs w:val="21"/>
        </w:rPr>
      </w:pPr>
      <w:r>
        <w:rPr>
          <w:rFonts w:hint="eastAsia"/>
          <w:szCs w:val="18"/>
        </w:rPr>
        <w:t xml:space="preserve">      </w:t>
      </w:r>
    </w:p>
    <w:p>
      <w:pPr>
        <w:widowControl/>
        <w:shd w:val="clear" w:color="auto" w:fill="FFFFFF"/>
        <w:spacing w:line="390" w:lineRule="atLeast"/>
        <w:ind w:firstLine="420"/>
        <w:jc w:val="left"/>
        <w:rPr>
          <w:rFonts w:ascii="宋体" w:hAnsi="宋体" w:cs="宋体"/>
          <w:bCs/>
          <w:kern w:val="0"/>
          <w:szCs w:val="21"/>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spacing w:line="240" w:lineRule="auto"/>
        <w:ind w:firstLine="0" w:firstLineChars="0"/>
        <w:jc w:val="both"/>
        <w:rPr>
          <w:b w:val="0"/>
        </w:rPr>
      </w:pPr>
    </w:p>
    <w:p>
      <w:pPr>
        <w:pStyle w:val="53"/>
        <w:ind w:firstLine="0" w:firstLineChars="0"/>
        <w:jc w:val="both"/>
        <w:rPr>
          <w:b w:val="0"/>
        </w:rPr>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sz w:val="32"/>
          <w:szCs w:val="32"/>
        </w:rPr>
      </w:pPr>
      <w:r>
        <w:rPr>
          <w:rFonts w:hint="eastAsia" w:ascii="宋体" w:hAnsi="宋体"/>
          <w:sz w:val="24"/>
          <w:u w:val="single"/>
        </w:rPr>
        <w:t xml:space="preserve">   </w:t>
      </w:r>
      <w:r>
        <w:rPr>
          <w:rFonts w:hint="eastAsia" w:ascii="宋体" w:hAnsi="宋体"/>
          <w:bCs/>
          <w:sz w:val="28"/>
          <w:szCs w:val="28"/>
          <w:u w:val="single"/>
        </w:rPr>
        <w:t xml:space="preserve">        </w:t>
      </w:r>
      <w:r>
        <w:rPr>
          <w:rFonts w:hint="eastAsia" w:ascii="宋体" w:hAnsi="宋体"/>
          <w:sz w:val="32"/>
          <w:szCs w:val="32"/>
        </w:rPr>
        <w:t>工程</w:t>
      </w:r>
    </w:p>
    <w:p>
      <w:pPr>
        <w:ind w:firstLine="0" w:firstLineChars="0"/>
        <w:jc w:val="center"/>
        <w:rPr>
          <w:rFonts w:ascii="宋体" w:hAnsi="宋体"/>
          <w:sz w:val="72"/>
        </w:rPr>
      </w:pPr>
    </w:p>
    <w:p>
      <w:pPr>
        <w:ind w:firstLine="0" w:firstLineChars="0"/>
        <w:jc w:val="center"/>
        <w:rPr>
          <w:rFonts w:ascii="宋体" w:hAnsi="宋体"/>
          <w:sz w:val="72"/>
        </w:rPr>
      </w:pPr>
      <w:r>
        <w:rPr>
          <w:rFonts w:hint="eastAsia" w:ascii="宋体" w:hAnsi="宋体"/>
          <w:sz w:val="72"/>
        </w:rPr>
        <w:t>投  标  书</w:t>
      </w:r>
    </w:p>
    <w:p>
      <w:pPr>
        <w:ind w:firstLine="0" w:firstLineChars="0"/>
        <w:jc w:val="center"/>
        <w:rPr>
          <w:rFonts w:ascii="宋体" w:hAnsi="宋体"/>
          <w:sz w:val="48"/>
        </w:rPr>
      </w:pPr>
    </w:p>
    <w:p>
      <w:pPr>
        <w:ind w:firstLine="0" w:firstLineChars="0"/>
        <w:jc w:val="center"/>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u w:val="single"/>
        </w:rPr>
        <w:tab/>
      </w:r>
      <w:r>
        <w:rPr>
          <w:rFonts w:hint="eastAsia" w:ascii="宋体" w:hAnsi="宋体"/>
          <w:sz w:val="28"/>
          <w:u w:val="single"/>
        </w:rPr>
        <w:t xml:space="preserve"> </w:t>
      </w:r>
    </w:p>
    <w:p>
      <w:pPr>
        <w:pStyle w:val="53"/>
        <w:ind w:firstLine="0" w:firstLineChars="0"/>
        <w:rPr>
          <w:b w:val="0"/>
        </w:rPr>
      </w:pPr>
      <w:r>
        <w:rPr>
          <w:rFonts w:hint="eastAsia"/>
          <w:b w:val="0"/>
        </w:rPr>
        <w:t>（商务标部分）</w:t>
      </w:r>
    </w:p>
    <w:p>
      <w:pPr>
        <w:pStyle w:val="53"/>
        <w:ind w:firstLine="0" w:firstLineChars="0"/>
        <w:rPr>
          <w:b w:val="0"/>
        </w:rPr>
      </w:pPr>
    </w:p>
    <w:p>
      <w:pPr>
        <w:pStyle w:val="53"/>
        <w:ind w:firstLine="0" w:firstLineChars="0"/>
        <w:rPr>
          <w:b w:val="0"/>
        </w:rPr>
      </w:pPr>
    </w:p>
    <w:p>
      <w:pPr>
        <w:pStyle w:val="53"/>
        <w:ind w:firstLine="0" w:firstLineChars="0"/>
        <w:rPr>
          <w:b w:val="0"/>
        </w:rPr>
      </w:pPr>
    </w:p>
    <w:p>
      <w:pPr>
        <w:snapToGrid w:val="0"/>
        <w:spacing w:line="480" w:lineRule="auto"/>
        <w:ind w:firstLine="1280" w:firstLineChars="400"/>
        <w:jc w:val="left"/>
        <w:rPr>
          <w:rFonts w:ascii="宋体" w:hAnsi="宋体"/>
          <w:sz w:val="32"/>
          <w:szCs w:val="32"/>
        </w:rPr>
      </w:pPr>
      <w:r>
        <w:rPr>
          <w:rFonts w:hint="eastAsia" w:ascii="宋体" w:hAnsi="宋体"/>
          <w:sz w:val="32"/>
          <w:szCs w:val="32"/>
        </w:rPr>
        <w:t>项 目  名 称：</w:t>
      </w:r>
    </w:p>
    <w:p>
      <w:pPr>
        <w:snapToGrid w:val="0"/>
        <w:spacing w:line="480" w:lineRule="auto"/>
        <w:ind w:firstLine="1280" w:firstLineChars="400"/>
        <w:jc w:val="left"/>
        <w:rPr>
          <w:rFonts w:ascii="宋体" w:hAnsi="宋体"/>
          <w:sz w:val="32"/>
          <w:szCs w:val="32"/>
        </w:rPr>
      </w:pPr>
      <w:r>
        <w:rPr>
          <w:rFonts w:hint="eastAsia" w:ascii="宋体" w:hAnsi="宋体"/>
          <w:sz w:val="32"/>
          <w:szCs w:val="32"/>
        </w:rPr>
        <w:t>投标人：</w:t>
      </w:r>
    </w:p>
    <w:p>
      <w:pPr>
        <w:snapToGrid w:val="0"/>
        <w:spacing w:line="480" w:lineRule="auto"/>
        <w:ind w:firstLine="1280" w:firstLineChars="400"/>
        <w:jc w:val="left"/>
        <w:rPr>
          <w:rFonts w:ascii="宋体" w:hAnsi="宋体"/>
          <w:sz w:val="32"/>
          <w:szCs w:val="32"/>
        </w:rPr>
      </w:pPr>
      <w:r>
        <w:rPr>
          <w:rFonts w:hint="eastAsia" w:ascii="宋体" w:hAnsi="宋体"/>
          <w:sz w:val="32"/>
          <w:szCs w:val="32"/>
        </w:rPr>
        <w:t>法 定 代 表 人</w:t>
      </w:r>
    </w:p>
    <w:p>
      <w:pPr>
        <w:snapToGrid w:val="0"/>
        <w:spacing w:line="480" w:lineRule="auto"/>
        <w:ind w:firstLine="1280" w:firstLineChars="400"/>
        <w:jc w:val="left"/>
        <w:rPr>
          <w:rFonts w:ascii="宋体" w:hAnsi="宋体"/>
          <w:sz w:val="32"/>
          <w:szCs w:val="32"/>
        </w:rPr>
      </w:pPr>
      <w:r>
        <w:rPr>
          <w:rFonts w:hint="eastAsia" w:ascii="宋体" w:hAnsi="宋体"/>
          <w:sz w:val="32"/>
          <w:szCs w:val="32"/>
        </w:rPr>
        <w:t xml:space="preserve">或其委托代理人：           </w:t>
      </w:r>
    </w:p>
    <w:p>
      <w:pPr>
        <w:snapToGrid w:val="0"/>
        <w:spacing w:line="480" w:lineRule="auto"/>
        <w:ind w:firstLine="1280" w:firstLineChars="400"/>
        <w:jc w:val="left"/>
        <w:rPr>
          <w:rFonts w:ascii="宋体" w:hAnsi="宋体"/>
          <w:sz w:val="32"/>
          <w:szCs w:val="32"/>
        </w:rPr>
      </w:pPr>
      <w:r>
        <w:rPr>
          <w:rFonts w:hint="eastAsia" w:ascii="宋体" w:hAnsi="宋体"/>
          <w:sz w:val="32"/>
          <w:szCs w:val="32"/>
        </w:rPr>
        <w:t>日  期：     年    月   日</w:t>
      </w:r>
    </w:p>
    <w:p>
      <w:pPr>
        <w:pStyle w:val="2"/>
        <w:keepNext w:val="0"/>
        <w:keepLines w:val="0"/>
        <w:numPr>
          <w:ilvl w:val="0"/>
          <w:numId w:val="0"/>
        </w:numPr>
        <w:jc w:val="both"/>
        <w:rPr>
          <w:rFonts w:ascii="宋体" w:hAnsi="宋体"/>
          <w:b w:val="0"/>
        </w:rPr>
      </w:pPr>
    </w:p>
    <w:p>
      <w:pPr>
        <w:pStyle w:val="59"/>
        <w:ind w:firstLine="420"/>
        <w:jc w:val="center"/>
        <w:rPr>
          <w:sz w:val="32"/>
        </w:rPr>
      </w:pPr>
      <w:r>
        <w:rPr>
          <w:b w:val="0"/>
        </w:rP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u w:val="single"/>
        </w:rPr>
        <w:t xml:space="preserve">            </w:t>
      </w:r>
      <w:r>
        <w:rPr>
          <w:rFonts w:hint="eastAsia"/>
          <w:u w:val="single"/>
        </w:rPr>
        <w:t>元</w:t>
      </w:r>
      <w:r>
        <w:rPr>
          <w:rFonts w:hint="eastAsia"/>
        </w:rPr>
        <w:t>）的投标报价，其中安全防护、文明施工措施费</w:t>
      </w:r>
      <w:r>
        <w:rPr>
          <w:rFonts w:hint="eastAsia"/>
          <w:u w:val="single"/>
        </w:rPr>
        <w:t xml:space="preserve">            </w:t>
      </w:r>
      <w:r>
        <w:rPr>
          <w:rFonts w:hint="eastAsia"/>
        </w:rPr>
        <w:t>元，其</w:t>
      </w:r>
      <w:r>
        <w:t>中</w:t>
      </w:r>
      <w:r>
        <w:rPr>
          <w:rFonts w:hint="eastAsia"/>
        </w:rPr>
        <w:t>渣</w:t>
      </w:r>
      <w:r>
        <w:t>土</w:t>
      </w:r>
      <w:r>
        <w:rPr>
          <w:rFonts w:hint="eastAsia"/>
        </w:rPr>
        <w:t>外</w:t>
      </w:r>
      <w:r>
        <w:t>运及消纳</w:t>
      </w:r>
      <w:r>
        <w:rPr>
          <w:rFonts w:hint="eastAsia"/>
          <w:u w:val="single"/>
        </w:rPr>
        <w:t xml:space="preserve">            </w:t>
      </w:r>
      <w:r>
        <w:rPr>
          <w:rFonts w:hint="eastAsia"/>
        </w:rPr>
        <w:t>元</w:t>
      </w:r>
      <w:r>
        <w:t>，</w:t>
      </w:r>
      <w:r>
        <w:rPr>
          <w:rFonts w:hint="eastAsia"/>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p>
    <w:p>
      <w:pPr>
        <w:autoSpaceDE w:val="0"/>
        <w:autoSpaceDN w:val="0"/>
        <w:adjustRightInd w:val="0"/>
        <w:ind w:firstLine="420"/>
        <w:rPr>
          <w:rFonts w:ascii="宋体" w:hAnsi="宋体"/>
        </w:rPr>
      </w:pP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0"/>
        <w:rPr>
          <w:rFonts w:ascii="宋体" w:hAnsi="宋体"/>
          <w:bCs/>
          <w:szCs w:val="21"/>
        </w:rPr>
      </w:pPr>
      <w:r>
        <w:rPr>
          <w:rFonts w:hint="eastAsia" w:ascii="宋体" w:hAnsi="宋体"/>
          <w:bCs/>
          <w:szCs w:val="21"/>
        </w:rPr>
        <w:t>略</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0"/>
        <w:rPr>
          <w:rFonts w:ascii="宋体" w:hAnsi="宋体"/>
          <w:szCs w:val="21"/>
        </w:rPr>
      </w:pPr>
      <w:r>
        <w:rPr>
          <w:rFonts w:hint="eastAsia" w:ascii="宋体" w:hAnsi="宋体"/>
          <w:szCs w:val="21"/>
        </w:rPr>
        <w:t>3</w:t>
      </w:r>
      <w:r>
        <w:rPr>
          <w:rFonts w:ascii="宋体" w:hAnsi="宋体"/>
          <w:szCs w:val="21"/>
        </w:rPr>
        <w:t>.</w:t>
      </w:r>
      <w:r>
        <w:rPr>
          <w:rFonts w:hint="eastAsia"/>
        </w:rPr>
        <w:t xml:space="preserve"> </w:t>
      </w:r>
      <w:r>
        <w:rPr>
          <w:rFonts w:hint="eastAsia" w:ascii="宋体" w:hAnsi="宋体"/>
          <w:szCs w:val="21"/>
        </w:rPr>
        <w:t>本工程涉及的人工、材料、机械台班的价格信息，其中包括：20</w:t>
      </w:r>
      <w:r>
        <w:rPr>
          <w:rFonts w:ascii="宋体" w:hAnsi="宋体"/>
          <w:szCs w:val="21"/>
        </w:rPr>
        <w:t>20</w:t>
      </w:r>
      <w:r>
        <w:rPr>
          <w:rFonts w:hint="eastAsia" w:ascii="宋体" w:hAnsi="宋体"/>
          <w:szCs w:val="21"/>
        </w:rPr>
        <w:t>年</w:t>
      </w:r>
      <w:r>
        <w:rPr>
          <w:rFonts w:ascii="宋体" w:hAnsi="宋体"/>
          <w:szCs w:val="21"/>
        </w:rPr>
        <w:t>07</w:t>
      </w:r>
      <w:r>
        <w:rPr>
          <w:rFonts w:hint="eastAsia" w:ascii="宋体" w:hAnsi="宋体"/>
          <w:szCs w:val="21"/>
        </w:rPr>
        <w:t>月《北京市工程造价信息》及市场价；</w:t>
      </w:r>
    </w:p>
    <w:p>
      <w:pPr>
        <w:ind w:firstLine="420"/>
        <w:rPr>
          <w:rFonts w:ascii="宋体" w:hAnsi="宋体"/>
          <w:szCs w:val="21"/>
        </w:rPr>
      </w:pPr>
      <w:r>
        <w:rPr>
          <w:rFonts w:ascii="宋体" w:hAnsi="宋体"/>
          <w:szCs w:val="21"/>
        </w:rPr>
        <w:t>4</w:t>
      </w:r>
      <w:r>
        <w:rPr>
          <w:rFonts w:hint="eastAsia" w:ascii="宋体" w:hAnsi="宋体"/>
          <w:szCs w:val="21"/>
        </w:rPr>
        <w:t>.</w:t>
      </w:r>
      <w:r>
        <w:rPr>
          <w:rFonts w:hint="eastAsia" w:ascii="宋体" w:hAnsi="宋体"/>
          <w:szCs w:val="21"/>
        </w:rPr>
        <w:tab/>
      </w:r>
      <w:r>
        <w:rPr>
          <w:rFonts w:hint="eastAsia" w:ascii="宋体" w:hAnsi="宋体"/>
          <w:szCs w:val="21"/>
        </w:rPr>
        <w:t>人工费按照20</w:t>
      </w:r>
      <w:r>
        <w:rPr>
          <w:rFonts w:ascii="宋体" w:hAnsi="宋体"/>
          <w:szCs w:val="21"/>
        </w:rPr>
        <w:t>20</w:t>
      </w:r>
      <w:r>
        <w:rPr>
          <w:rFonts w:hint="eastAsia" w:ascii="宋体" w:hAnsi="宋体"/>
          <w:szCs w:val="21"/>
        </w:rPr>
        <w:t>年</w:t>
      </w:r>
      <w:r>
        <w:rPr>
          <w:rFonts w:ascii="宋体" w:hAnsi="宋体"/>
          <w:szCs w:val="21"/>
        </w:rPr>
        <w:t>07</w:t>
      </w:r>
      <w:r>
        <w:rPr>
          <w:rFonts w:hint="eastAsia" w:ascii="宋体" w:hAnsi="宋体"/>
          <w:szCs w:val="21"/>
        </w:rPr>
        <w:t>月《北京市工程造价信息》建筑工程中值计入；</w:t>
      </w:r>
    </w:p>
    <w:p>
      <w:pPr>
        <w:ind w:firstLine="420"/>
        <w:rPr>
          <w:rFonts w:ascii="宋体" w:hAnsi="宋体"/>
          <w:szCs w:val="21"/>
        </w:rPr>
      </w:pPr>
      <w:r>
        <w:rPr>
          <w:rFonts w:ascii="宋体" w:hAnsi="宋体"/>
          <w:szCs w:val="21"/>
        </w:rPr>
        <w:t>5</w:t>
      </w:r>
      <w:r>
        <w:rPr>
          <w:rFonts w:hint="eastAsia" w:ascii="宋体" w:hAnsi="宋体"/>
          <w:szCs w:val="21"/>
        </w:rPr>
        <w:t>.</w:t>
      </w:r>
      <w:r>
        <w:rPr>
          <w:rFonts w:hint="eastAsia" w:ascii="宋体" w:hAnsi="宋体"/>
          <w:szCs w:val="21"/>
        </w:rPr>
        <w:tab/>
      </w:r>
      <w:r>
        <w:rPr>
          <w:rFonts w:hint="eastAsia" w:ascii="宋体" w:hAnsi="宋体"/>
          <w:szCs w:val="21"/>
        </w:rPr>
        <w:t>规费费率执行京建发〔2019〕333号文；</w:t>
      </w:r>
    </w:p>
    <w:p>
      <w:pPr>
        <w:ind w:firstLine="420"/>
        <w:rPr>
          <w:rFonts w:ascii="宋体" w:hAnsi="宋体"/>
          <w:szCs w:val="21"/>
        </w:rPr>
      </w:pPr>
      <w:r>
        <w:rPr>
          <w:rFonts w:ascii="宋体" w:hAnsi="宋体"/>
          <w:szCs w:val="21"/>
        </w:rPr>
        <w:t>6</w:t>
      </w:r>
      <w:r>
        <w:rPr>
          <w:rFonts w:hint="eastAsia" w:ascii="宋体" w:hAnsi="宋体"/>
          <w:szCs w:val="21"/>
        </w:rPr>
        <w:t>.</w:t>
      </w:r>
      <w:r>
        <w:rPr>
          <w:rFonts w:hint="eastAsia" w:ascii="宋体" w:hAnsi="宋体"/>
          <w:szCs w:val="21"/>
        </w:rPr>
        <w:tab/>
      </w:r>
      <w:r>
        <w:rPr>
          <w:rFonts w:hint="eastAsia" w:ascii="宋体" w:hAnsi="宋体"/>
          <w:szCs w:val="21"/>
        </w:rPr>
        <w:t>税金执行京建发〔2019〕141号文；</w:t>
      </w:r>
    </w:p>
    <w:p>
      <w:pPr>
        <w:ind w:firstLine="420"/>
        <w:rPr>
          <w:rFonts w:ascii="宋体" w:hAnsi="宋体"/>
          <w:szCs w:val="21"/>
        </w:rPr>
      </w:pPr>
      <w:r>
        <w:rPr>
          <w:rFonts w:ascii="宋体" w:hAnsi="宋体"/>
          <w:szCs w:val="21"/>
        </w:rPr>
        <w:t>7</w:t>
      </w:r>
      <w:r>
        <w:rPr>
          <w:rFonts w:hint="eastAsia" w:ascii="宋体" w:hAnsi="宋体"/>
          <w:szCs w:val="21"/>
        </w:rPr>
        <w:t>.</w:t>
      </w:r>
      <w:r>
        <w:rPr>
          <w:rFonts w:hint="eastAsia" w:ascii="宋体" w:hAnsi="宋体"/>
          <w:szCs w:val="21"/>
        </w:rPr>
        <w:tab/>
      </w:r>
      <w:r>
        <w:rPr>
          <w:rFonts w:hint="eastAsia" w:ascii="宋体" w:hAnsi="宋体"/>
          <w:szCs w:val="21"/>
        </w:rPr>
        <w:t>安全文明施工费费率执行京建法【2019】9号文；</w:t>
      </w:r>
    </w:p>
    <w:p>
      <w:pPr>
        <w:ind w:firstLine="420"/>
        <w:rPr>
          <w:rFonts w:ascii="宋体" w:hAnsi="宋体"/>
          <w:szCs w:val="21"/>
        </w:rPr>
      </w:pPr>
      <w:r>
        <w:rPr>
          <w:rFonts w:ascii="宋体" w:hAnsi="宋体"/>
          <w:szCs w:val="21"/>
        </w:rPr>
        <w:t>8</w:t>
      </w:r>
      <w:r>
        <w:rPr>
          <w:rFonts w:hint="eastAsia" w:ascii="宋体" w:hAnsi="宋体"/>
          <w:szCs w:val="21"/>
        </w:rPr>
        <w:t>.</w:t>
      </w:r>
      <w:r>
        <w:rPr>
          <w:rFonts w:hint="eastAsia" w:ascii="宋体" w:hAnsi="宋体"/>
          <w:szCs w:val="21"/>
        </w:rPr>
        <w:tab/>
      </w:r>
      <w:r>
        <w:rPr>
          <w:rFonts w:hint="eastAsia" w:ascii="宋体" w:hAnsi="宋体"/>
          <w:szCs w:val="21"/>
        </w:rPr>
        <w:t>管理费、利润等费率均执行北京市建设工程预算定额指导费率；</w:t>
      </w:r>
    </w:p>
    <w:p>
      <w:pPr>
        <w:ind w:firstLine="420"/>
        <w:rPr>
          <w:rFonts w:ascii="宋体" w:hAnsi="宋体"/>
          <w:szCs w:val="21"/>
        </w:rPr>
      </w:pPr>
      <w:r>
        <w:rPr>
          <w:rFonts w:ascii="宋体" w:hAnsi="宋体"/>
          <w:szCs w:val="21"/>
        </w:rPr>
        <w:t>9</w:t>
      </w:r>
      <w:r>
        <w:rPr>
          <w:rFonts w:hint="eastAsia" w:ascii="宋体" w:hAnsi="宋体"/>
          <w:szCs w:val="21"/>
        </w:rPr>
        <w:t>.</w:t>
      </w:r>
      <w:r>
        <w:rPr>
          <w:rFonts w:hint="eastAsia" w:ascii="宋体" w:hAnsi="宋体"/>
          <w:szCs w:val="21"/>
        </w:rPr>
        <w:tab/>
      </w:r>
      <w:r>
        <w:rPr>
          <w:rFonts w:hint="eastAsia" w:ascii="宋体" w:hAnsi="宋体"/>
          <w:szCs w:val="21"/>
        </w:rPr>
        <w:t>材料价按照20</w:t>
      </w:r>
      <w:r>
        <w:rPr>
          <w:rFonts w:ascii="宋体" w:hAnsi="宋体"/>
          <w:szCs w:val="21"/>
        </w:rPr>
        <w:t>20</w:t>
      </w:r>
      <w:r>
        <w:rPr>
          <w:rFonts w:hint="eastAsia" w:ascii="宋体" w:hAnsi="宋体"/>
          <w:szCs w:val="21"/>
        </w:rPr>
        <w:t>年</w:t>
      </w:r>
      <w:r>
        <w:rPr>
          <w:rFonts w:ascii="宋体" w:hAnsi="宋体"/>
          <w:szCs w:val="21"/>
        </w:rPr>
        <w:t>07</w:t>
      </w:r>
      <w:r>
        <w:rPr>
          <w:rFonts w:hint="eastAsia" w:ascii="宋体" w:hAnsi="宋体"/>
          <w:szCs w:val="21"/>
        </w:rPr>
        <w:t>月《北京市工程造价信息》或中低档市场价计入；</w:t>
      </w:r>
    </w:p>
    <w:p>
      <w:pPr>
        <w:ind w:firstLine="420"/>
        <w:rPr>
          <w:rFonts w:ascii="宋体" w:hAnsi="宋体"/>
          <w:szCs w:val="21"/>
        </w:rPr>
      </w:pPr>
      <w:r>
        <w:rPr>
          <w:rFonts w:ascii="宋体" w:hAnsi="宋体"/>
          <w:szCs w:val="21"/>
        </w:rPr>
        <w:t>10</w:t>
      </w:r>
      <w:r>
        <w:rPr>
          <w:rFonts w:hint="eastAsia" w:ascii="宋体" w:hAnsi="宋体"/>
          <w:szCs w:val="21"/>
        </w:rPr>
        <w:t>.</w:t>
      </w:r>
      <w:r>
        <w:rPr>
          <w:rFonts w:hint="eastAsia" w:ascii="宋体" w:hAnsi="宋体"/>
          <w:szCs w:val="21"/>
        </w:rPr>
        <w:tab/>
      </w:r>
      <w:r>
        <w:rPr>
          <w:rFonts w:hint="eastAsia" w:ascii="宋体" w:hAnsi="宋体"/>
          <w:szCs w:val="21"/>
        </w:rPr>
        <w:t>经与建设单位沟通，安全文明施工费依据京建法[2019]9号文《北京市建设工程安全文明施工费管理办法（试行）》规定，按其中“达标”标准计取；</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firstLine="420"/>
        <w:rPr>
          <w:rFonts w:ascii="宋体" w:hAnsi="宋体"/>
          <w:szCs w:val="21"/>
        </w:rPr>
      </w:pPr>
      <w:r>
        <w:rPr>
          <w:rFonts w:ascii="宋体" w:hAnsi="宋体"/>
          <w:szCs w:val="21"/>
        </w:rPr>
        <w:t>1．报价要明示计入该工程各专业人工工日的工日单价标准（不能高于当期造价信息标准）及本工程报价的各项取费标准，如投标文件中未明确的，结算时以最低标准结算。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主要材料选型表</w:t>
      </w:r>
    </w:p>
    <w:p>
      <w:pPr>
        <w:ind w:firstLine="602"/>
        <w:jc w:val="center"/>
        <w:rPr>
          <w:rFonts w:ascii="宋体" w:hAnsi="宋体"/>
          <w:b/>
          <w:color w:val="FF0000"/>
          <w:sz w:val="30"/>
          <w:szCs w:val="30"/>
        </w:rPr>
      </w:pPr>
      <w:r>
        <w:rPr>
          <w:rFonts w:hint="eastAsia" w:ascii="宋体" w:hAnsi="宋体"/>
          <w:b/>
          <w:color w:val="FF0000"/>
          <w:sz w:val="30"/>
          <w:szCs w:val="30"/>
        </w:rPr>
        <w:t>主要材料选型表</w:t>
      </w:r>
    </w:p>
    <w:tbl>
      <w:tblPr>
        <w:tblStyle w:val="35"/>
        <w:tblW w:w="9521" w:type="dxa"/>
        <w:jc w:val="center"/>
        <w:tblInd w:w="0" w:type="dxa"/>
        <w:tblLayout w:type="fixed"/>
        <w:tblCellMar>
          <w:top w:w="0" w:type="dxa"/>
          <w:left w:w="108" w:type="dxa"/>
          <w:bottom w:w="0" w:type="dxa"/>
          <w:right w:w="108" w:type="dxa"/>
        </w:tblCellMar>
      </w:tblPr>
      <w:tblGrid>
        <w:gridCol w:w="880"/>
        <w:gridCol w:w="1662"/>
        <w:gridCol w:w="1984"/>
        <w:gridCol w:w="1033"/>
        <w:gridCol w:w="1316"/>
        <w:gridCol w:w="1316"/>
        <w:gridCol w:w="1330"/>
      </w:tblGrid>
      <w:tr>
        <w:tblPrEx>
          <w:tblLayout w:type="fixed"/>
          <w:tblCellMar>
            <w:top w:w="0" w:type="dxa"/>
            <w:left w:w="108" w:type="dxa"/>
            <w:bottom w:w="0" w:type="dxa"/>
            <w:right w:w="108" w:type="dxa"/>
          </w:tblCellMar>
        </w:tblPrEx>
        <w:trPr>
          <w:trHeight w:val="550" w:hRule="atLeast"/>
          <w:jc w:val="center"/>
        </w:trPr>
        <w:tc>
          <w:tcPr>
            <w:tcW w:w="880"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662"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984"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33"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计划数量</w:t>
            </w: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材料单价</w:t>
            </w:r>
          </w:p>
        </w:tc>
        <w:tc>
          <w:tcPr>
            <w:tcW w:w="1330"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544" w:hRule="atLeast"/>
          <w:jc w:val="center"/>
        </w:trPr>
        <w:tc>
          <w:tcPr>
            <w:tcW w:w="880"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662"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984"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033"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30"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40" w:hRule="atLeast"/>
          <w:jc w:val="center"/>
        </w:trPr>
        <w:tc>
          <w:tcPr>
            <w:tcW w:w="880" w:type="dxa"/>
            <w:tcBorders>
              <w:top w:val="single" w:color="auto" w:sz="8" w:space="0"/>
              <w:left w:val="single" w:color="auto" w:sz="8" w:space="0"/>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662"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984"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033"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30"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46" w:hRule="atLeast"/>
          <w:jc w:val="center"/>
        </w:trPr>
        <w:tc>
          <w:tcPr>
            <w:tcW w:w="880"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662"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984"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033"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16"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30" w:type="dxa"/>
            <w:tcBorders>
              <w:top w:val="single" w:color="auto" w:sz="8" w:space="0"/>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40" w:hRule="atLeast"/>
          <w:jc w:val="center"/>
        </w:trPr>
        <w:tc>
          <w:tcPr>
            <w:tcW w:w="880" w:type="dxa"/>
            <w:tcBorders>
              <w:top w:val="single" w:color="auto" w:sz="4" w:space="0"/>
              <w:left w:val="single" w:color="auto" w:sz="8" w:space="0"/>
              <w:bottom w:val="single" w:color="auto" w:sz="4" w:space="0"/>
              <w:right w:val="single" w:color="auto" w:sz="8" w:space="0"/>
            </w:tcBorders>
            <w:vAlign w:val="center"/>
          </w:tcPr>
          <w:p>
            <w:pPr>
              <w:ind w:firstLine="422"/>
              <w:rPr>
                <w:rFonts w:ascii="宋体" w:hAnsi="宋体" w:cs="宋体"/>
                <w:b/>
                <w:bCs/>
                <w:color w:val="FF0000"/>
                <w:kern w:val="0"/>
                <w:szCs w:val="21"/>
              </w:rPr>
            </w:pPr>
          </w:p>
        </w:tc>
        <w:tc>
          <w:tcPr>
            <w:tcW w:w="166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984"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03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316" w:type="dxa"/>
            <w:tcBorders>
              <w:top w:val="nil"/>
              <w:left w:val="nil"/>
              <w:bottom w:val="single" w:color="auto" w:sz="8" w:space="0"/>
              <w:right w:val="single" w:color="auto" w:sz="8" w:space="0"/>
            </w:tcBorders>
            <w:vAlign w:val="center"/>
          </w:tcPr>
          <w:p>
            <w:pPr>
              <w:ind w:firstLine="422"/>
              <w:jc w:val="center"/>
              <w:rPr>
                <w:rFonts w:ascii="宋体" w:hAnsi="宋体" w:cs="宋体"/>
                <w:b/>
                <w:bCs/>
                <w:color w:val="FF0000"/>
                <w:kern w:val="0"/>
                <w:szCs w:val="21"/>
              </w:rPr>
            </w:pPr>
          </w:p>
        </w:tc>
        <w:tc>
          <w:tcPr>
            <w:tcW w:w="1316" w:type="dxa"/>
            <w:tcBorders>
              <w:top w:val="nil"/>
              <w:left w:val="nil"/>
              <w:bottom w:val="single" w:color="auto" w:sz="8" w:space="0"/>
              <w:right w:val="single" w:color="auto" w:sz="8" w:space="0"/>
            </w:tcBorders>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330" w:type="dxa"/>
            <w:tcBorders>
              <w:top w:val="nil"/>
              <w:left w:val="nil"/>
              <w:bottom w:val="single" w:color="auto" w:sz="8" w:space="0"/>
              <w:right w:val="single" w:color="auto" w:sz="8" w:space="0"/>
            </w:tcBorders>
            <w:vAlign w:val="center"/>
          </w:tcPr>
          <w:p>
            <w:pPr>
              <w:ind w:firstLine="42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08" w:hRule="atLeast"/>
          <w:jc w:val="center"/>
        </w:trPr>
        <w:tc>
          <w:tcPr>
            <w:tcW w:w="880"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662"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984" w:type="dxa"/>
            <w:tcBorders>
              <w:top w:val="nil"/>
              <w:left w:val="nil"/>
              <w:bottom w:val="single" w:color="auto" w:sz="8" w:space="0"/>
              <w:right w:val="single" w:color="auto" w:sz="8" w:space="0"/>
            </w:tcBorders>
            <w:vAlign w:val="center"/>
          </w:tcPr>
          <w:p>
            <w:pPr>
              <w:widowControl/>
              <w:spacing w:line="240" w:lineRule="auto"/>
              <w:ind w:firstLine="0" w:firstLineChars="0"/>
              <w:rPr>
                <w:rFonts w:ascii="宋体" w:hAnsi="宋体" w:cs="宋体"/>
                <w:color w:val="FF0000"/>
                <w:kern w:val="0"/>
                <w:szCs w:val="21"/>
              </w:rPr>
            </w:pPr>
          </w:p>
        </w:tc>
        <w:tc>
          <w:tcPr>
            <w:tcW w:w="1033" w:type="dxa"/>
            <w:tcBorders>
              <w:top w:val="nil"/>
              <w:left w:val="nil"/>
              <w:bottom w:val="single" w:color="auto" w:sz="8" w:space="0"/>
              <w:right w:val="single" w:color="auto" w:sz="8" w:space="0"/>
            </w:tcBorders>
            <w:vAlign w:val="center"/>
          </w:tcPr>
          <w:p>
            <w:pPr>
              <w:widowControl/>
              <w:spacing w:line="240" w:lineRule="auto"/>
              <w:ind w:firstLine="0" w:firstLineChars="0"/>
              <w:jc w:val="center"/>
              <w:rPr>
                <w:rFonts w:ascii="宋体" w:hAnsi="宋体" w:cs="宋体"/>
                <w:color w:val="FF0000"/>
                <w:kern w:val="0"/>
                <w:szCs w:val="21"/>
              </w:rPr>
            </w:pPr>
          </w:p>
        </w:tc>
        <w:tc>
          <w:tcPr>
            <w:tcW w:w="1316" w:type="dxa"/>
            <w:tcBorders>
              <w:top w:val="nil"/>
              <w:left w:val="nil"/>
              <w:bottom w:val="single" w:color="auto" w:sz="8" w:space="0"/>
              <w:right w:val="single" w:color="auto" w:sz="8" w:space="0"/>
            </w:tcBorders>
            <w:vAlign w:val="center"/>
          </w:tcPr>
          <w:p>
            <w:pPr>
              <w:widowControl/>
              <w:spacing w:line="240" w:lineRule="auto"/>
              <w:ind w:firstLine="0" w:firstLineChars="0"/>
              <w:rPr>
                <w:rFonts w:ascii="宋体" w:hAnsi="宋体" w:cs="宋体"/>
                <w:color w:val="FF0000"/>
                <w:kern w:val="0"/>
                <w:szCs w:val="21"/>
              </w:rPr>
            </w:pPr>
          </w:p>
        </w:tc>
        <w:tc>
          <w:tcPr>
            <w:tcW w:w="1316" w:type="dxa"/>
            <w:tcBorders>
              <w:top w:val="nil"/>
              <w:left w:val="nil"/>
              <w:bottom w:val="single" w:color="auto" w:sz="8" w:space="0"/>
              <w:right w:val="single" w:color="auto" w:sz="8" w:space="0"/>
            </w:tcBorders>
            <w:vAlign w:val="center"/>
          </w:tcPr>
          <w:p>
            <w:pPr>
              <w:widowControl/>
              <w:spacing w:line="240" w:lineRule="auto"/>
              <w:ind w:firstLine="0" w:firstLineChars="0"/>
              <w:rPr>
                <w:rFonts w:ascii="宋体" w:hAnsi="宋体" w:cs="宋体"/>
                <w:color w:val="FF0000"/>
                <w:kern w:val="0"/>
                <w:szCs w:val="21"/>
              </w:rPr>
            </w:pPr>
          </w:p>
        </w:tc>
        <w:tc>
          <w:tcPr>
            <w:tcW w:w="1330" w:type="dxa"/>
            <w:tcBorders>
              <w:top w:val="nil"/>
              <w:left w:val="nil"/>
              <w:bottom w:val="single" w:color="auto" w:sz="8" w:space="0"/>
              <w:right w:val="single" w:color="auto" w:sz="8" w:space="0"/>
            </w:tcBorders>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注：此表附在投标报价后</w:t>
      </w:r>
    </w:p>
    <w:p>
      <w:pPr>
        <w:ind w:firstLine="420"/>
        <w:rPr>
          <w:rFonts w:ascii="宋体" w:hAnsi="宋体"/>
          <w:szCs w:val="21"/>
        </w:rPr>
      </w:pPr>
    </w:p>
    <w:p>
      <w:pPr>
        <w:ind w:firstLine="420"/>
        <w:rPr>
          <w:rFonts w:ascii="宋体" w:hAnsi="宋体"/>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2"/>
        <w:rPr>
          <w:rFonts w:ascii="宋体" w:hAnsi="宋体"/>
          <w:b/>
          <w:color w:val="FF0000"/>
          <w:szCs w:val="21"/>
        </w:rPr>
      </w:pPr>
      <w:r>
        <w:rPr>
          <w:rFonts w:hint="eastAsia" w:ascii="宋体" w:hAnsi="宋体"/>
          <w:b/>
          <w:color w:val="FF0000"/>
          <w:szCs w:val="21"/>
          <w:highlight w:val="yellow"/>
        </w:rPr>
        <w:t>本工程招标控制价为</w:t>
      </w:r>
      <w:r>
        <w:rPr>
          <w:rFonts w:hint="eastAsia" w:ascii="宋体" w:hAnsi="宋体"/>
          <w:b/>
          <w:color w:val="FF0000"/>
          <w:szCs w:val="21"/>
        </w:rPr>
        <w:t>人民币53,238.72元（大写：人民币伍万叁仟贰佰叁拾捌元柒角贰分）。</w:t>
      </w:r>
    </w:p>
    <w:p>
      <w:pPr>
        <w:ind w:firstLine="420"/>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5"/>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rPr>
          <w:sz w:val="28"/>
          <w:szCs w:val="28"/>
        </w:rPr>
      </w:pPr>
      <w:r>
        <w:rPr>
          <w:rFonts w:hint="eastAsia" w:ascii="Times New Roman" w:hAnsi="Times New Roman"/>
          <w:bCs/>
          <w:sz w:val="28"/>
          <w:szCs w:val="28"/>
        </w:rPr>
        <w:t>（一）</w:t>
      </w: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6"/>
        </w:numPr>
        <w:ind w:left="0" w:firstLine="371" w:firstLineChars="177"/>
        <w:jc w:val="left"/>
        <w:rPr>
          <w:rFonts w:ascii="宋体" w:hAnsi="宋体"/>
          <w:szCs w:val="21"/>
        </w:rPr>
      </w:pPr>
      <w:r>
        <w:rPr>
          <w:rFonts w:ascii="宋体" w:hAnsi="宋体"/>
          <w:szCs w:val="21"/>
        </w:rPr>
        <w:t>全文采用MICROSOFT——WORD2007版本打印；</w:t>
      </w:r>
    </w:p>
    <w:p>
      <w:pPr>
        <w:numPr>
          <w:ilvl w:val="0"/>
          <w:numId w:val="6"/>
        </w:numPr>
        <w:ind w:left="0" w:firstLine="371" w:firstLineChars="177"/>
        <w:jc w:val="left"/>
        <w:rPr>
          <w:rFonts w:ascii="宋体" w:hAnsi="宋体"/>
          <w:szCs w:val="21"/>
        </w:rPr>
      </w:pPr>
      <w:r>
        <w:rPr>
          <w:rFonts w:ascii="宋体" w:hAnsi="宋体"/>
          <w:szCs w:val="21"/>
        </w:rPr>
        <w:t>纸张：A4白色复印纸（70g）；</w:t>
      </w:r>
    </w:p>
    <w:p>
      <w:pPr>
        <w:numPr>
          <w:ilvl w:val="0"/>
          <w:numId w:val="6"/>
        </w:numPr>
        <w:ind w:left="0" w:firstLine="371" w:firstLineChars="177"/>
        <w:jc w:val="left"/>
        <w:rPr>
          <w:rFonts w:ascii="宋体" w:hAnsi="宋体"/>
          <w:szCs w:val="21"/>
        </w:rPr>
      </w:pPr>
      <w:r>
        <w:rPr>
          <w:rFonts w:ascii="宋体" w:hAnsi="宋体"/>
          <w:szCs w:val="21"/>
        </w:rPr>
        <w:t>字体：宋体；</w:t>
      </w:r>
    </w:p>
    <w:p>
      <w:pPr>
        <w:numPr>
          <w:ilvl w:val="0"/>
          <w:numId w:val="6"/>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6"/>
        </w:numPr>
        <w:ind w:left="0" w:firstLine="371" w:firstLineChars="177"/>
        <w:jc w:val="left"/>
        <w:rPr>
          <w:rFonts w:ascii="宋体" w:hAnsi="宋体"/>
          <w:szCs w:val="21"/>
        </w:rPr>
      </w:pPr>
      <w:r>
        <w:rPr>
          <w:rFonts w:ascii="宋体" w:hAnsi="宋体"/>
          <w:szCs w:val="21"/>
        </w:rPr>
        <w:t>行距：固定值22磅；</w:t>
      </w:r>
    </w:p>
    <w:p>
      <w:pPr>
        <w:numPr>
          <w:ilvl w:val="0"/>
          <w:numId w:val="6"/>
        </w:numPr>
        <w:ind w:left="0" w:firstLine="371" w:firstLineChars="177"/>
        <w:jc w:val="left"/>
        <w:rPr>
          <w:rFonts w:ascii="宋体" w:hAnsi="宋体"/>
          <w:szCs w:val="21"/>
        </w:rPr>
      </w:pPr>
      <w:r>
        <w:rPr>
          <w:rFonts w:ascii="宋体" w:hAnsi="宋体"/>
          <w:szCs w:val="21"/>
        </w:rPr>
        <w:t>页边距：上2.5厘米，其余均为2厘米；</w:t>
      </w:r>
    </w:p>
    <w:p>
      <w:pPr>
        <w:numPr>
          <w:ilvl w:val="0"/>
          <w:numId w:val="6"/>
        </w:numPr>
        <w:ind w:left="0" w:firstLine="371" w:firstLineChars="177"/>
        <w:jc w:val="left"/>
        <w:rPr>
          <w:rFonts w:ascii="宋体" w:hAnsi="宋体"/>
          <w:szCs w:val="21"/>
        </w:rPr>
      </w:pPr>
      <w:r>
        <w:rPr>
          <w:rFonts w:ascii="宋体" w:hAnsi="宋体"/>
          <w:szCs w:val="21"/>
        </w:rPr>
        <w:t>包括图表，不允许使用彩色打印；</w:t>
      </w:r>
    </w:p>
    <w:p>
      <w:pPr>
        <w:numPr>
          <w:ilvl w:val="0"/>
          <w:numId w:val="6"/>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6"/>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6"/>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6"/>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2"/>
        <w:rPr>
          <w:b/>
        </w:rPr>
      </w:pPr>
      <w:r>
        <w:rPr>
          <w:rFonts w:hint="eastAsia"/>
          <w:b/>
        </w:rPr>
        <w:t>（二）施工组织设计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54"/>
        <w:ind w:firstLine="0" w:firstLineChars="0"/>
      </w:pPr>
      <w:r>
        <w:rPr>
          <w:rFonts w:hint="eastAsia"/>
        </w:rPr>
        <w:t>第一条.本办法为</w:t>
      </w:r>
      <w:r>
        <w:rPr>
          <w:rFonts w:hint="eastAsia"/>
          <w:color w:val="FF0000"/>
          <w:szCs w:val="21"/>
          <w:u w:val="single"/>
        </w:rPr>
        <w:t>北京清华长庚医院急诊风除室改造工程</w:t>
      </w:r>
      <w:r>
        <w:rPr>
          <w:rFonts w:hint="eastAsia"/>
          <w:u w:val="single"/>
        </w:rPr>
        <w:t>（</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7"/>
        </w:numPr>
        <w:ind w:firstLineChars="0"/>
      </w:pPr>
      <w:r>
        <w:rPr>
          <w:rFonts w:hint="eastAsia"/>
        </w:rPr>
        <w:t>公开、公平、公正和诚实信用的原则。</w:t>
      </w:r>
    </w:p>
    <w:p>
      <w:pPr>
        <w:pStyle w:val="54"/>
        <w:numPr>
          <w:ilvl w:val="0"/>
          <w:numId w:val="7"/>
        </w:numPr>
        <w:ind w:firstLineChars="0"/>
      </w:pPr>
      <w:r>
        <w:rPr>
          <w:rFonts w:hint="eastAsia"/>
        </w:rPr>
        <w:t>科学、合理、择优评标原则。</w:t>
      </w:r>
    </w:p>
    <w:p>
      <w:pPr>
        <w:pStyle w:val="54"/>
        <w:numPr>
          <w:ilvl w:val="0"/>
          <w:numId w:val="7"/>
        </w:numPr>
        <w:ind w:firstLineChars="0"/>
      </w:pPr>
      <w:r>
        <w:rPr>
          <w:rFonts w:hint="eastAsia"/>
        </w:rPr>
        <w:t>反不正当竞争的原则。</w:t>
      </w:r>
    </w:p>
    <w:p>
      <w:pPr>
        <w:adjustRightInd w:val="0"/>
        <w:spacing w:line="312" w:lineRule="auto"/>
        <w:ind w:firstLine="0" w:firstLineChars="0"/>
      </w:pPr>
      <w:r>
        <w:rPr>
          <w:rFonts w:hint="eastAsia"/>
        </w:rPr>
        <w:t>第五条.评标委员会根据本办法及本工程招标文件要求对投标人投标文件进行综合评分，</w:t>
      </w:r>
      <w:r>
        <w:t>打分结束后，评委汇总合格投标人的总得分。汇总总得分时，总分相同者，报价低的排名在前。总得分最高的前</w:t>
      </w:r>
      <w:r>
        <w:rPr>
          <w:rFonts w:hint="eastAsia"/>
        </w:rPr>
        <w:t>两</w:t>
      </w:r>
      <w:r>
        <w:t>名为中标候选人，</w:t>
      </w:r>
      <w:r>
        <w:rPr>
          <w:rFonts w:hint="eastAsia"/>
        </w:rPr>
        <w:t>得</w:t>
      </w:r>
      <w:r>
        <w:t>分高为第一中标候选人，如得分相同则报价低的为第一中标候选人</w:t>
      </w:r>
      <w:r>
        <w:rPr>
          <w:rFonts w:hint="eastAsia"/>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技术评审记录表（40分）</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58"/>
              <w:rPr>
                <w:szCs w:val="21"/>
              </w:rPr>
            </w:pPr>
            <w:r>
              <w:rPr>
                <w:rFonts w:hint="eastAsia"/>
                <w:szCs w:val="21"/>
              </w:rPr>
              <w:t>项目</w:t>
            </w:r>
          </w:p>
        </w:tc>
        <w:tc>
          <w:tcPr>
            <w:tcW w:w="367" w:type="dxa"/>
            <w:tcBorders>
              <w:top w:val="single" w:color="auto" w:sz="12" w:space="0"/>
              <w:bottom w:val="single" w:color="auto" w:sz="12" w:space="0"/>
            </w:tcBorders>
            <w:vAlign w:val="center"/>
          </w:tcPr>
          <w:p>
            <w:pPr>
              <w:pStyle w:val="58"/>
              <w:rPr>
                <w:szCs w:val="21"/>
              </w:rPr>
            </w:pPr>
            <w:r>
              <w:rPr>
                <w:rFonts w:hint="eastAsia"/>
                <w:szCs w:val="21"/>
              </w:rPr>
              <w:t>标准分</w:t>
            </w:r>
          </w:p>
        </w:tc>
        <w:tc>
          <w:tcPr>
            <w:tcW w:w="4736" w:type="dxa"/>
            <w:tcBorders>
              <w:top w:val="single" w:color="auto" w:sz="12" w:space="0"/>
              <w:bottom w:val="single" w:color="auto" w:sz="12" w:space="0"/>
            </w:tcBorders>
            <w:vAlign w:val="center"/>
          </w:tcPr>
          <w:p>
            <w:pPr>
              <w:pStyle w:val="58"/>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58"/>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58"/>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58"/>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58"/>
              <w:rPr>
                <w:szCs w:val="21"/>
              </w:rPr>
            </w:pPr>
            <w:r>
              <w:rPr>
                <w:rFonts w:ascii="Arial" w:hAnsi="Arial" w:cs="Arial"/>
                <w:bCs/>
                <w:szCs w:val="21"/>
              </w:rPr>
              <w:t>3</w:t>
            </w:r>
          </w:p>
        </w:tc>
        <w:tc>
          <w:tcPr>
            <w:tcW w:w="709" w:type="dxa"/>
            <w:tcBorders>
              <w:top w:val="single" w:color="auto" w:sz="12" w:space="0"/>
              <w:bottom w:val="single" w:color="auto" w:sz="12" w:space="0"/>
            </w:tcBorders>
            <w:vAlign w:val="center"/>
          </w:tcPr>
          <w:p>
            <w:pPr>
              <w:pStyle w:val="58"/>
              <w:rPr>
                <w:rFonts w:ascii="Arial" w:hAnsi="Arial" w:cs="Arial"/>
                <w:bCs/>
                <w:szCs w:val="21"/>
              </w:rPr>
            </w:pPr>
            <w:r>
              <w:rPr>
                <w:rFonts w:hint="eastAsia" w:ascii="Arial" w:hAnsi="Arial" w:cs="Arial"/>
                <w:bCs/>
                <w:szCs w:val="21"/>
              </w:rPr>
              <w:t>4</w:t>
            </w:r>
          </w:p>
        </w:tc>
        <w:tc>
          <w:tcPr>
            <w:tcW w:w="708" w:type="dxa"/>
            <w:tcBorders>
              <w:top w:val="single" w:color="auto" w:sz="12" w:space="0"/>
              <w:bottom w:val="single" w:color="auto" w:sz="12" w:space="0"/>
            </w:tcBorders>
            <w:vAlign w:val="center"/>
          </w:tcPr>
          <w:p>
            <w:pPr>
              <w:pStyle w:val="58"/>
              <w:rPr>
                <w:rFonts w:ascii="Arial" w:hAnsi="Arial" w:cs="Arial"/>
                <w:bCs/>
                <w:szCs w:val="21"/>
              </w:rPr>
            </w:pPr>
            <w:r>
              <w:rPr>
                <w:rFonts w:ascii="Arial" w:hAnsi="Arial" w:cs="Arial"/>
                <w:bCs/>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55"/>
              <w:jc w:val="center"/>
              <w:rPr>
                <w:szCs w:val="21"/>
              </w:rPr>
            </w:pPr>
            <w:r>
              <w:rPr>
                <w:rFonts w:hint="eastAsia"/>
                <w:szCs w:val="21"/>
              </w:rPr>
              <w:t>资</w:t>
            </w:r>
            <w:r>
              <w:rPr>
                <w:szCs w:val="21"/>
              </w:rPr>
              <w:t>格评审</w:t>
            </w:r>
          </w:p>
        </w:tc>
        <w:tc>
          <w:tcPr>
            <w:tcW w:w="367" w:type="dxa"/>
            <w:vMerge w:val="restart"/>
            <w:tcBorders>
              <w:top w:val="single" w:color="auto" w:sz="12" w:space="0"/>
              <w:bottom w:val="single" w:color="auto" w:sz="6" w:space="0"/>
            </w:tcBorders>
            <w:vAlign w:val="center"/>
          </w:tcPr>
          <w:p>
            <w:pPr>
              <w:pStyle w:val="55"/>
              <w:jc w:val="center"/>
              <w:rPr>
                <w:szCs w:val="21"/>
              </w:rPr>
            </w:pPr>
            <w:r>
              <w:rPr>
                <w:rFonts w:hint="eastAsia"/>
                <w:szCs w:val="21"/>
              </w:rPr>
              <w:t>/</w:t>
            </w:r>
          </w:p>
        </w:tc>
        <w:tc>
          <w:tcPr>
            <w:tcW w:w="4736" w:type="dxa"/>
            <w:tcBorders>
              <w:top w:val="single" w:color="auto" w:sz="12" w:space="0"/>
              <w:bottom w:val="single" w:color="auto" w:sz="6" w:space="0"/>
            </w:tcBorders>
            <w:vAlign w:val="center"/>
          </w:tcPr>
          <w:p>
            <w:pPr>
              <w:pStyle w:val="55"/>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55"/>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55"/>
              <w:jc w:val="center"/>
              <w:rPr>
                <w:szCs w:val="21"/>
              </w:rPr>
            </w:pPr>
          </w:p>
        </w:tc>
        <w:tc>
          <w:tcPr>
            <w:tcW w:w="709" w:type="dxa"/>
            <w:tcBorders>
              <w:top w:val="single" w:color="auto" w:sz="12" w:space="0"/>
              <w:bottom w:val="single" w:color="auto" w:sz="6" w:space="0"/>
            </w:tcBorders>
          </w:tcPr>
          <w:p>
            <w:pPr>
              <w:pStyle w:val="55"/>
              <w:jc w:val="center"/>
              <w:rPr>
                <w:szCs w:val="21"/>
              </w:rPr>
            </w:pPr>
          </w:p>
        </w:tc>
        <w:tc>
          <w:tcPr>
            <w:tcW w:w="709" w:type="dxa"/>
            <w:tcBorders>
              <w:top w:val="single" w:color="auto" w:sz="12" w:space="0"/>
              <w:bottom w:val="single" w:color="auto" w:sz="6" w:space="0"/>
            </w:tcBorders>
          </w:tcPr>
          <w:p>
            <w:pPr>
              <w:pStyle w:val="55"/>
              <w:jc w:val="center"/>
              <w:rPr>
                <w:szCs w:val="21"/>
              </w:rPr>
            </w:pPr>
          </w:p>
        </w:tc>
        <w:tc>
          <w:tcPr>
            <w:tcW w:w="709" w:type="dxa"/>
            <w:tcBorders>
              <w:top w:val="single" w:color="auto" w:sz="12" w:space="0"/>
              <w:bottom w:val="single" w:color="auto" w:sz="6" w:space="0"/>
            </w:tcBorders>
          </w:tcPr>
          <w:p>
            <w:pPr>
              <w:pStyle w:val="55"/>
              <w:jc w:val="center"/>
              <w:rPr>
                <w:szCs w:val="21"/>
              </w:rPr>
            </w:pPr>
          </w:p>
        </w:tc>
        <w:tc>
          <w:tcPr>
            <w:tcW w:w="708" w:type="dxa"/>
            <w:tcBorders>
              <w:top w:val="single" w:color="auto" w:sz="12" w:space="0"/>
              <w:bottom w:val="single" w:color="auto" w:sz="6"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szCs w:val="21"/>
              </w:rPr>
            </w:pPr>
          </w:p>
        </w:tc>
        <w:tc>
          <w:tcPr>
            <w:tcW w:w="1206" w:type="dxa"/>
            <w:vMerge w:val="continue"/>
            <w:tcBorders>
              <w:top w:val="single" w:color="auto" w:sz="6" w:space="0"/>
              <w:bottom w:val="single" w:color="auto" w:sz="12" w:space="0"/>
            </w:tcBorders>
            <w:vAlign w:val="center"/>
          </w:tcPr>
          <w:p>
            <w:pPr>
              <w:pStyle w:val="55"/>
              <w:jc w:val="center"/>
              <w:rPr>
                <w:szCs w:val="21"/>
              </w:rPr>
            </w:pPr>
          </w:p>
        </w:tc>
        <w:tc>
          <w:tcPr>
            <w:tcW w:w="367" w:type="dxa"/>
            <w:vMerge w:val="continue"/>
            <w:tcBorders>
              <w:top w:val="single" w:color="auto" w:sz="6" w:space="0"/>
              <w:bottom w:val="single" w:color="auto" w:sz="12" w:space="0"/>
            </w:tcBorders>
            <w:vAlign w:val="center"/>
          </w:tcPr>
          <w:p>
            <w:pPr>
              <w:pStyle w:val="55"/>
              <w:jc w:val="center"/>
              <w:rPr>
                <w:szCs w:val="21"/>
              </w:rPr>
            </w:pPr>
          </w:p>
        </w:tc>
        <w:tc>
          <w:tcPr>
            <w:tcW w:w="4736" w:type="dxa"/>
            <w:tcBorders>
              <w:top w:val="single" w:color="auto" w:sz="6" w:space="0"/>
              <w:bottom w:val="single" w:color="auto" w:sz="12" w:space="0"/>
            </w:tcBorders>
            <w:vAlign w:val="center"/>
          </w:tcPr>
          <w:p>
            <w:pPr>
              <w:pStyle w:val="55"/>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55"/>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55"/>
              <w:jc w:val="center"/>
              <w:rPr>
                <w:szCs w:val="21"/>
              </w:rPr>
            </w:pPr>
          </w:p>
        </w:tc>
        <w:tc>
          <w:tcPr>
            <w:tcW w:w="709" w:type="dxa"/>
            <w:tcBorders>
              <w:top w:val="single" w:color="auto" w:sz="6" w:space="0"/>
              <w:bottom w:val="single" w:color="auto" w:sz="12" w:space="0"/>
            </w:tcBorders>
          </w:tcPr>
          <w:p>
            <w:pPr>
              <w:pStyle w:val="55"/>
              <w:jc w:val="center"/>
              <w:rPr>
                <w:szCs w:val="21"/>
              </w:rPr>
            </w:pPr>
          </w:p>
        </w:tc>
        <w:tc>
          <w:tcPr>
            <w:tcW w:w="709" w:type="dxa"/>
            <w:tcBorders>
              <w:top w:val="single" w:color="auto" w:sz="6" w:space="0"/>
              <w:bottom w:val="single" w:color="auto" w:sz="12" w:space="0"/>
            </w:tcBorders>
          </w:tcPr>
          <w:p>
            <w:pPr>
              <w:pStyle w:val="55"/>
              <w:jc w:val="center"/>
              <w:rPr>
                <w:szCs w:val="21"/>
              </w:rPr>
            </w:pPr>
          </w:p>
        </w:tc>
        <w:tc>
          <w:tcPr>
            <w:tcW w:w="709" w:type="dxa"/>
            <w:tcBorders>
              <w:top w:val="single" w:color="auto" w:sz="6" w:space="0"/>
              <w:bottom w:val="single" w:color="auto" w:sz="12" w:space="0"/>
            </w:tcBorders>
          </w:tcPr>
          <w:p>
            <w:pPr>
              <w:pStyle w:val="55"/>
              <w:jc w:val="center"/>
              <w:rPr>
                <w:szCs w:val="21"/>
              </w:rPr>
            </w:pPr>
          </w:p>
        </w:tc>
        <w:tc>
          <w:tcPr>
            <w:tcW w:w="708" w:type="dxa"/>
            <w:tcBorders>
              <w:top w:val="single" w:color="auto" w:sz="6" w:space="0"/>
              <w:bottom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55"/>
              <w:jc w:val="center"/>
              <w:rPr>
                <w:szCs w:val="21"/>
              </w:rPr>
            </w:pPr>
            <w:r>
              <w:rPr>
                <w:rFonts w:hint="eastAsia"/>
                <w:szCs w:val="21"/>
              </w:rPr>
              <w:t>对</w:t>
            </w:r>
            <w:r>
              <w:rPr>
                <w:szCs w:val="21"/>
              </w:rPr>
              <w:t>招标文件</w:t>
            </w:r>
            <w:r>
              <w:rPr>
                <w:rFonts w:hint="eastAsia"/>
                <w:szCs w:val="21"/>
              </w:rPr>
              <w:t>的</w:t>
            </w:r>
            <w:r>
              <w:rPr>
                <w:szCs w:val="21"/>
              </w:rPr>
              <w:t>响应</w:t>
            </w:r>
          </w:p>
        </w:tc>
        <w:tc>
          <w:tcPr>
            <w:tcW w:w="367" w:type="dxa"/>
            <w:vMerge w:val="restart"/>
            <w:tcBorders>
              <w:top w:val="single" w:color="auto" w:sz="12" w:space="0"/>
              <w:bottom w:val="single" w:color="auto" w:sz="6" w:space="0"/>
            </w:tcBorders>
            <w:vAlign w:val="center"/>
          </w:tcPr>
          <w:p>
            <w:pPr>
              <w:pStyle w:val="55"/>
              <w:jc w:val="center"/>
              <w:rPr>
                <w:sz w:val="15"/>
                <w:szCs w:val="15"/>
              </w:rPr>
            </w:pPr>
            <w:r>
              <w:rPr>
                <w:rFonts w:hint="eastAsia"/>
                <w:sz w:val="15"/>
                <w:szCs w:val="15"/>
              </w:rPr>
              <w:t>4分</w:t>
            </w:r>
          </w:p>
        </w:tc>
        <w:tc>
          <w:tcPr>
            <w:tcW w:w="4736" w:type="dxa"/>
            <w:tcBorders>
              <w:top w:val="single" w:color="auto" w:sz="12" w:space="0"/>
              <w:bottom w:val="single" w:color="auto" w:sz="6" w:space="0"/>
            </w:tcBorders>
            <w:vAlign w:val="center"/>
          </w:tcPr>
          <w:p>
            <w:pPr>
              <w:pStyle w:val="55"/>
              <w:rPr>
                <w:szCs w:val="21"/>
              </w:rPr>
            </w:pPr>
            <w:r>
              <w:rPr>
                <w:rFonts w:hint="eastAsia"/>
                <w:szCs w:val="21"/>
              </w:rPr>
              <w:t>投</w:t>
            </w:r>
            <w:r>
              <w:rPr>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szCs w:val="21"/>
              </w:rPr>
            </w:pPr>
            <w:r>
              <w:rPr>
                <w:rFonts w:hint="eastAsia"/>
                <w:szCs w:val="21"/>
              </w:rPr>
              <w:t>3~4</w:t>
            </w:r>
            <w:r>
              <w:rPr>
                <w:szCs w:val="21"/>
              </w:rPr>
              <w:t>分</w:t>
            </w:r>
          </w:p>
        </w:tc>
        <w:tc>
          <w:tcPr>
            <w:tcW w:w="696"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8" w:type="dxa"/>
            <w:vMerge w:val="restart"/>
            <w:tcBorders>
              <w:top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szCs w:val="21"/>
              </w:rPr>
            </w:pPr>
          </w:p>
        </w:tc>
        <w:tc>
          <w:tcPr>
            <w:tcW w:w="1206" w:type="dxa"/>
            <w:vMerge w:val="continue"/>
            <w:tcBorders>
              <w:top w:val="single" w:color="auto" w:sz="6" w:space="0"/>
              <w:bottom w:val="single" w:color="auto" w:sz="12" w:space="0"/>
            </w:tcBorders>
            <w:vAlign w:val="center"/>
          </w:tcPr>
          <w:p>
            <w:pPr>
              <w:pStyle w:val="55"/>
              <w:jc w:val="center"/>
              <w:rPr>
                <w:szCs w:val="21"/>
              </w:rPr>
            </w:pPr>
          </w:p>
        </w:tc>
        <w:tc>
          <w:tcPr>
            <w:tcW w:w="367" w:type="dxa"/>
            <w:vMerge w:val="continue"/>
            <w:tcBorders>
              <w:top w:val="single" w:color="auto" w:sz="6" w:space="0"/>
              <w:bottom w:val="single" w:color="auto" w:sz="12" w:space="0"/>
            </w:tcBorders>
            <w:vAlign w:val="center"/>
          </w:tcPr>
          <w:p>
            <w:pPr>
              <w:pStyle w:val="55"/>
              <w:jc w:val="center"/>
              <w:rPr>
                <w:sz w:val="15"/>
                <w:szCs w:val="15"/>
              </w:rPr>
            </w:pPr>
          </w:p>
        </w:tc>
        <w:tc>
          <w:tcPr>
            <w:tcW w:w="4736" w:type="dxa"/>
            <w:tcBorders>
              <w:top w:val="single" w:color="auto" w:sz="6" w:space="0"/>
              <w:bottom w:val="single" w:color="auto" w:sz="12" w:space="0"/>
            </w:tcBorders>
            <w:vAlign w:val="center"/>
          </w:tcPr>
          <w:p>
            <w:pPr>
              <w:pStyle w:val="55"/>
              <w:rPr>
                <w:szCs w:val="21"/>
              </w:rPr>
            </w:pPr>
            <w:r>
              <w:rPr>
                <w:rFonts w:hint="eastAsia"/>
                <w:szCs w:val="21"/>
              </w:rPr>
              <w:t>投</w:t>
            </w:r>
            <w:r>
              <w:rPr>
                <w:szCs w:val="21"/>
              </w:rPr>
              <w:t>标文件技术要求与招标文件要求</w:t>
            </w:r>
            <w:r>
              <w:rPr>
                <w:rFonts w:hint="eastAsia"/>
                <w:szCs w:val="21"/>
              </w:rPr>
              <w:t>存在</w:t>
            </w:r>
            <w:r>
              <w:rPr>
                <w:szCs w:val="21"/>
              </w:rPr>
              <w:t>重大偏差</w:t>
            </w:r>
          </w:p>
        </w:tc>
        <w:tc>
          <w:tcPr>
            <w:tcW w:w="934" w:type="dxa"/>
            <w:tcBorders>
              <w:top w:val="single" w:color="auto" w:sz="6" w:space="0"/>
              <w:bottom w:val="single" w:color="auto" w:sz="12" w:space="0"/>
            </w:tcBorders>
            <w:vAlign w:val="center"/>
          </w:tcPr>
          <w:p>
            <w:pPr>
              <w:pStyle w:val="55"/>
              <w:jc w:val="center"/>
              <w:rPr>
                <w:szCs w:val="21"/>
              </w:rPr>
            </w:pPr>
            <w:r>
              <w:rPr>
                <w:rFonts w:hint="eastAsia"/>
                <w:szCs w:val="21"/>
              </w:rPr>
              <w:t>0</w:t>
            </w:r>
            <w:r>
              <w:rPr>
                <w:szCs w:val="21"/>
              </w:rPr>
              <w:t>~2分</w:t>
            </w:r>
          </w:p>
        </w:tc>
        <w:tc>
          <w:tcPr>
            <w:tcW w:w="696"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8" w:type="dxa"/>
            <w:vMerge w:val="continue"/>
            <w:tcBorders>
              <w:bottom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55"/>
              <w:jc w:val="center"/>
              <w:rPr>
                <w:szCs w:val="21"/>
              </w:rPr>
            </w:pPr>
            <w:r>
              <w:rPr>
                <w:rFonts w:hint="eastAsia"/>
                <w:szCs w:val="21"/>
              </w:rPr>
              <w:t>技术方案</w:t>
            </w:r>
          </w:p>
        </w:tc>
        <w:tc>
          <w:tcPr>
            <w:tcW w:w="367" w:type="dxa"/>
            <w:vMerge w:val="restart"/>
            <w:tcBorders>
              <w:top w:val="single" w:color="auto" w:sz="12" w:space="0"/>
              <w:bottom w:val="single" w:color="auto" w:sz="6" w:space="0"/>
            </w:tcBorders>
            <w:vAlign w:val="center"/>
          </w:tcPr>
          <w:p>
            <w:pPr>
              <w:pStyle w:val="55"/>
              <w:jc w:val="center"/>
              <w:rPr>
                <w:sz w:val="15"/>
                <w:szCs w:val="15"/>
              </w:rPr>
            </w:pPr>
            <w:r>
              <w:rPr>
                <w:sz w:val="15"/>
                <w:szCs w:val="15"/>
              </w:rPr>
              <w:t>5分</w:t>
            </w:r>
          </w:p>
        </w:tc>
        <w:tc>
          <w:tcPr>
            <w:tcW w:w="4736" w:type="dxa"/>
            <w:tcBorders>
              <w:top w:val="single" w:color="auto" w:sz="12" w:space="0"/>
              <w:bottom w:val="single" w:color="auto" w:sz="6" w:space="0"/>
            </w:tcBorders>
            <w:vAlign w:val="center"/>
          </w:tcPr>
          <w:p>
            <w:pPr>
              <w:pStyle w:val="55"/>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w:t>
            </w:r>
            <w:r>
              <w:rPr>
                <w:rFonts w:hint="eastAsia"/>
                <w:szCs w:val="21"/>
              </w:rPr>
              <w:t>清晰。</w:t>
            </w:r>
            <w:r>
              <w:rPr>
                <w:szCs w:val="21"/>
              </w:rPr>
              <w:t xml:space="preserve"> </w:t>
            </w:r>
          </w:p>
        </w:tc>
        <w:tc>
          <w:tcPr>
            <w:tcW w:w="934" w:type="dxa"/>
            <w:tcBorders>
              <w:top w:val="single" w:color="auto" w:sz="12" w:space="0"/>
              <w:bottom w:val="single" w:color="auto" w:sz="6" w:space="0"/>
            </w:tcBorders>
            <w:vAlign w:val="center"/>
          </w:tcPr>
          <w:p>
            <w:pPr>
              <w:pStyle w:val="55"/>
              <w:jc w:val="center"/>
              <w:rPr>
                <w:szCs w:val="21"/>
              </w:rPr>
            </w:pPr>
            <w:r>
              <w:rPr>
                <w:szCs w:val="21"/>
              </w:rPr>
              <w:t>5分</w:t>
            </w:r>
          </w:p>
        </w:tc>
        <w:tc>
          <w:tcPr>
            <w:tcW w:w="696"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8" w:type="dxa"/>
            <w:vMerge w:val="restart"/>
            <w:tcBorders>
              <w:top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szCs w:val="21"/>
              </w:rPr>
            </w:pPr>
          </w:p>
        </w:tc>
        <w:tc>
          <w:tcPr>
            <w:tcW w:w="1206" w:type="dxa"/>
            <w:vMerge w:val="continue"/>
            <w:tcBorders>
              <w:top w:val="single" w:color="auto" w:sz="6" w:space="0"/>
              <w:bottom w:val="single" w:color="auto" w:sz="6" w:space="0"/>
            </w:tcBorders>
            <w:vAlign w:val="center"/>
          </w:tcPr>
          <w:p>
            <w:pPr>
              <w:pStyle w:val="55"/>
              <w:jc w:val="center"/>
              <w:rPr>
                <w:szCs w:val="21"/>
              </w:rPr>
            </w:pPr>
          </w:p>
        </w:tc>
        <w:tc>
          <w:tcPr>
            <w:tcW w:w="367" w:type="dxa"/>
            <w:vMerge w:val="continue"/>
            <w:tcBorders>
              <w:top w:val="single" w:color="auto" w:sz="6" w:space="0"/>
              <w:bottom w:val="single" w:color="auto" w:sz="6" w:space="0"/>
            </w:tcBorders>
            <w:vAlign w:val="center"/>
          </w:tcPr>
          <w:p>
            <w:pPr>
              <w:pStyle w:val="55"/>
              <w:jc w:val="center"/>
              <w:rPr>
                <w:sz w:val="15"/>
                <w:szCs w:val="15"/>
              </w:rPr>
            </w:pPr>
          </w:p>
        </w:tc>
        <w:tc>
          <w:tcPr>
            <w:tcW w:w="4736" w:type="dxa"/>
            <w:tcBorders>
              <w:top w:val="single" w:color="auto" w:sz="6" w:space="0"/>
              <w:bottom w:val="single" w:color="auto" w:sz="6" w:space="0"/>
            </w:tcBorders>
            <w:vAlign w:val="center"/>
          </w:tcPr>
          <w:p>
            <w:pPr>
              <w:pStyle w:val="55"/>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55"/>
              <w:jc w:val="center"/>
              <w:rPr>
                <w:szCs w:val="21"/>
              </w:rPr>
            </w:pPr>
            <w:r>
              <w:rPr>
                <w:szCs w:val="21"/>
              </w:rPr>
              <w:t>2~4分</w:t>
            </w:r>
          </w:p>
        </w:tc>
        <w:tc>
          <w:tcPr>
            <w:tcW w:w="696"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8" w:type="dxa"/>
            <w:vMerge w:val="continue"/>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szCs w:val="21"/>
              </w:rPr>
            </w:pPr>
          </w:p>
        </w:tc>
        <w:tc>
          <w:tcPr>
            <w:tcW w:w="1206" w:type="dxa"/>
            <w:vMerge w:val="continue"/>
            <w:tcBorders>
              <w:top w:val="single" w:color="auto" w:sz="6" w:space="0"/>
              <w:bottom w:val="single" w:color="auto" w:sz="12" w:space="0"/>
            </w:tcBorders>
            <w:vAlign w:val="center"/>
          </w:tcPr>
          <w:p>
            <w:pPr>
              <w:pStyle w:val="55"/>
              <w:jc w:val="center"/>
              <w:rPr>
                <w:szCs w:val="21"/>
              </w:rPr>
            </w:pPr>
          </w:p>
        </w:tc>
        <w:tc>
          <w:tcPr>
            <w:tcW w:w="367" w:type="dxa"/>
            <w:vMerge w:val="continue"/>
            <w:tcBorders>
              <w:top w:val="single" w:color="auto" w:sz="6" w:space="0"/>
              <w:bottom w:val="single" w:color="auto" w:sz="12" w:space="0"/>
            </w:tcBorders>
            <w:vAlign w:val="center"/>
          </w:tcPr>
          <w:p>
            <w:pPr>
              <w:pStyle w:val="55"/>
              <w:jc w:val="center"/>
              <w:rPr>
                <w:sz w:val="15"/>
                <w:szCs w:val="15"/>
              </w:rPr>
            </w:pPr>
          </w:p>
        </w:tc>
        <w:tc>
          <w:tcPr>
            <w:tcW w:w="4736" w:type="dxa"/>
            <w:tcBorders>
              <w:top w:val="single" w:color="auto" w:sz="6" w:space="0"/>
              <w:bottom w:val="single" w:color="auto" w:sz="12" w:space="0"/>
            </w:tcBorders>
            <w:vAlign w:val="center"/>
          </w:tcPr>
          <w:p>
            <w:pPr>
              <w:pStyle w:val="55"/>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55"/>
              <w:jc w:val="center"/>
              <w:rPr>
                <w:szCs w:val="21"/>
              </w:rPr>
            </w:pPr>
            <w:r>
              <w:rPr>
                <w:szCs w:val="21"/>
              </w:rPr>
              <w:t>0~1分</w:t>
            </w:r>
          </w:p>
        </w:tc>
        <w:tc>
          <w:tcPr>
            <w:tcW w:w="696"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8" w:type="dxa"/>
            <w:vMerge w:val="continue"/>
            <w:tcBorders>
              <w:bottom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55"/>
              <w:jc w:val="center"/>
              <w:rPr>
                <w:szCs w:val="21"/>
              </w:rPr>
            </w:pPr>
            <w:r>
              <w:rPr>
                <w:rFonts w:hint="eastAsia"/>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sz w:val="15"/>
                <w:szCs w:val="15"/>
              </w:rPr>
            </w:pPr>
            <w:r>
              <w:rPr>
                <w:sz w:val="15"/>
                <w:szCs w:val="15"/>
              </w:rPr>
              <w:t>5分</w:t>
            </w:r>
          </w:p>
        </w:tc>
        <w:tc>
          <w:tcPr>
            <w:tcW w:w="4736" w:type="dxa"/>
            <w:tcBorders>
              <w:top w:val="single" w:color="auto" w:sz="12" w:space="0"/>
              <w:bottom w:val="single" w:color="auto" w:sz="6" w:space="0"/>
            </w:tcBorders>
            <w:vAlign w:val="center"/>
          </w:tcPr>
          <w:p>
            <w:pPr>
              <w:pStyle w:val="55"/>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szCs w:val="21"/>
              </w:rPr>
            </w:pPr>
            <w:r>
              <w:rPr>
                <w:szCs w:val="21"/>
              </w:rPr>
              <w:t>5分</w:t>
            </w:r>
          </w:p>
        </w:tc>
        <w:tc>
          <w:tcPr>
            <w:tcW w:w="696"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8" w:type="dxa"/>
            <w:vMerge w:val="restart"/>
            <w:tcBorders>
              <w:top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szCs w:val="21"/>
              </w:rPr>
            </w:pPr>
          </w:p>
        </w:tc>
        <w:tc>
          <w:tcPr>
            <w:tcW w:w="1206" w:type="dxa"/>
            <w:vMerge w:val="continue"/>
            <w:tcBorders>
              <w:top w:val="single" w:color="auto" w:sz="6" w:space="0"/>
              <w:bottom w:val="single" w:color="auto" w:sz="6" w:space="0"/>
            </w:tcBorders>
            <w:vAlign w:val="center"/>
          </w:tcPr>
          <w:p>
            <w:pPr>
              <w:pStyle w:val="55"/>
              <w:jc w:val="center"/>
              <w:rPr>
                <w:szCs w:val="21"/>
              </w:rPr>
            </w:pPr>
          </w:p>
        </w:tc>
        <w:tc>
          <w:tcPr>
            <w:tcW w:w="367" w:type="dxa"/>
            <w:vMerge w:val="continue"/>
            <w:tcBorders>
              <w:top w:val="single" w:color="auto" w:sz="6" w:space="0"/>
              <w:bottom w:val="single" w:color="auto" w:sz="6" w:space="0"/>
            </w:tcBorders>
            <w:vAlign w:val="center"/>
          </w:tcPr>
          <w:p>
            <w:pPr>
              <w:pStyle w:val="55"/>
              <w:jc w:val="center"/>
              <w:rPr>
                <w:sz w:val="15"/>
                <w:szCs w:val="15"/>
              </w:rPr>
            </w:pPr>
          </w:p>
        </w:tc>
        <w:tc>
          <w:tcPr>
            <w:tcW w:w="4736" w:type="dxa"/>
            <w:tcBorders>
              <w:top w:val="single" w:color="auto" w:sz="6" w:space="0"/>
              <w:bottom w:val="single" w:color="auto" w:sz="6" w:space="0"/>
            </w:tcBorders>
            <w:vAlign w:val="center"/>
          </w:tcPr>
          <w:p>
            <w:pPr>
              <w:pStyle w:val="55"/>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55"/>
              <w:jc w:val="center"/>
              <w:rPr>
                <w:szCs w:val="21"/>
              </w:rPr>
            </w:pPr>
            <w:r>
              <w:rPr>
                <w:szCs w:val="21"/>
              </w:rPr>
              <w:t>2~4分</w:t>
            </w:r>
          </w:p>
        </w:tc>
        <w:tc>
          <w:tcPr>
            <w:tcW w:w="696"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8" w:type="dxa"/>
            <w:vMerge w:val="continue"/>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szCs w:val="21"/>
              </w:rPr>
            </w:pPr>
          </w:p>
        </w:tc>
        <w:tc>
          <w:tcPr>
            <w:tcW w:w="1206" w:type="dxa"/>
            <w:vMerge w:val="continue"/>
            <w:tcBorders>
              <w:top w:val="single" w:color="auto" w:sz="6" w:space="0"/>
              <w:bottom w:val="single" w:color="auto" w:sz="12" w:space="0"/>
            </w:tcBorders>
            <w:vAlign w:val="center"/>
          </w:tcPr>
          <w:p>
            <w:pPr>
              <w:pStyle w:val="55"/>
              <w:jc w:val="center"/>
              <w:rPr>
                <w:szCs w:val="21"/>
              </w:rPr>
            </w:pPr>
          </w:p>
        </w:tc>
        <w:tc>
          <w:tcPr>
            <w:tcW w:w="367" w:type="dxa"/>
            <w:vMerge w:val="continue"/>
            <w:tcBorders>
              <w:top w:val="single" w:color="auto" w:sz="6" w:space="0"/>
              <w:bottom w:val="single" w:color="auto" w:sz="12" w:space="0"/>
            </w:tcBorders>
            <w:vAlign w:val="center"/>
          </w:tcPr>
          <w:p>
            <w:pPr>
              <w:pStyle w:val="55"/>
              <w:jc w:val="center"/>
              <w:rPr>
                <w:sz w:val="15"/>
                <w:szCs w:val="15"/>
              </w:rPr>
            </w:pPr>
          </w:p>
        </w:tc>
        <w:tc>
          <w:tcPr>
            <w:tcW w:w="4736" w:type="dxa"/>
            <w:tcBorders>
              <w:top w:val="single" w:color="auto" w:sz="6" w:space="0"/>
              <w:bottom w:val="single" w:color="auto" w:sz="12" w:space="0"/>
            </w:tcBorders>
            <w:vAlign w:val="center"/>
          </w:tcPr>
          <w:p>
            <w:pPr>
              <w:pStyle w:val="55"/>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szCs w:val="21"/>
              </w:rPr>
            </w:pPr>
            <w:r>
              <w:rPr>
                <w:szCs w:val="21"/>
              </w:rPr>
              <w:t>0~1分</w:t>
            </w:r>
          </w:p>
        </w:tc>
        <w:tc>
          <w:tcPr>
            <w:tcW w:w="696"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8" w:type="dxa"/>
            <w:vMerge w:val="continue"/>
            <w:tcBorders>
              <w:bottom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55"/>
              <w:jc w:val="center"/>
              <w:rPr>
                <w:szCs w:val="21"/>
              </w:rPr>
            </w:pPr>
            <w:r>
              <w:rPr>
                <w:rFonts w:hint="eastAsia"/>
                <w:szCs w:val="21"/>
              </w:rPr>
              <w:t>施工进度计划</w:t>
            </w:r>
          </w:p>
          <w:p>
            <w:pPr>
              <w:pStyle w:val="55"/>
              <w:jc w:val="center"/>
              <w:rPr>
                <w:szCs w:val="21"/>
              </w:rPr>
            </w:pPr>
            <w:r>
              <w:rPr>
                <w:rFonts w:hint="eastAsia"/>
                <w:szCs w:val="21"/>
              </w:rPr>
              <w:t>及保证措施</w:t>
            </w:r>
          </w:p>
        </w:tc>
        <w:tc>
          <w:tcPr>
            <w:tcW w:w="367" w:type="dxa"/>
            <w:vMerge w:val="restart"/>
            <w:tcBorders>
              <w:top w:val="single" w:color="auto" w:sz="12" w:space="0"/>
              <w:bottom w:val="single" w:color="auto" w:sz="6" w:space="0"/>
            </w:tcBorders>
            <w:vAlign w:val="center"/>
          </w:tcPr>
          <w:p>
            <w:pPr>
              <w:pStyle w:val="55"/>
              <w:jc w:val="center"/>
              <w:rPr>
                <w:sz w:val="15"/>
                <w:szCs w:val="15"/>
              </w:rPr>
            </w:pPr>
            <w:r>
              <w:rPr>
                <w:sz w:val="15"/>
                <w:szCs w:val="15"/>
              </w:rPr>
              <w:t>5分</w:t>
            </w:r>
          </w:p>
        </w:tc>
        <w:tc>
          <w:tcPr>
            <w:tcW w:w="4736" w:type="dxa"/>
            <w:tcBorders>
              <w:top w:val="single" w:color="auto" w:sz="12" w:space="0"/>
              <w:bottom w:val="single" w:color="auto" w:sz="6" w:space="0"/>
            </w:tcBorders>
            <w:vAlign w:val="center"/>
          </w:tcPr>
          <w:p>
            <w:pPr>
              <w:pStyle w:val="55"/>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55"/>
              <w:jc w:val="center"/>
              <w:rPr>
                <w:szCs w:val="21"/>
              </w:rPr>
            </w:pPr>
            <w:r>
              <w:rPr>
                <w:szCs w:val="21"/>
              </w:rPr>
              <w:t>5分</w:t>
            </w:r>
          </w:p>
        </w:tc>
        <w:tc>
          <w:tcPr>
            <w:tcW w:w="696"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8" w:type="dxa"/>
            <w:vMerge w:val="restart"/>
            <w:tcBorders>
              <w:top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szCs w:val="21"/>
              </w:rPr>
            </w:pPr>
          </w:p>
        </w:tc>
        <w:tc>
          <w:tcPr>
            <w:tcW w:w="1206" w:type="dxa"/>
            <w:vMerge w:val="continue"/>
            <w:tcBorders>
              <w:top w:val="single" w:color="auto" w:sz="6" w:space="0"/>
              <w:bottom w:val="single" w:color="auto" w:sz="6" w:space="0"/>
            </w:tcBorders>
            <w:vAlign w:val="center"/>
          </w:tcPr>
          <w:p>
            <w:pPr>
              <w:pStyle w:val="55"/>
              <w:jc w:val="center"/>
              <w:rPr>
                <w:szCs w:val="21"/>
              </w:rPr>
            </w:pPr>
          </w:p>
        </w:tc>
        <w:tc>
          <w:tcPr>
            <w:tcW w:w="367" w:type="dxa"/>
            <w:vMerge w:val="continue"/>
            <w:tcBorders>
              <w:top w:val="single" w:color="auto" w:sz="6" w:space="0"/>
              <w:bottom w:val="single" w:color="auto" w:sz="6" w:space="0"/>
            </w:tcBorders>
            <w:vAlign w:val="center"/>
          </w:tcPr>
          <w:p>
            <w:pPr>
              <w:pStyle w:val="55"/>
              <w:jc w:val="center"/>
              <w:rPr>
                <w:sz w:val="15"/>
                <w:szCs w:val="15"/>
              </w:rPr>
            </w:pPr>
          </w:p>
        </w:tc>
        <w:tc>
          <w:tcPr>
            <w:tcW w:w="4736" w:type="dxa"/>
            <w:tcBorders>
              <w:top w:val="single" w:color="auto" w:sz="6" w:space="0"/>
              <w:bottom w:val="single" w:color="auto" w:sz="6" w:space="0"/>
            </w:tcBorders>
            <w:vAlign w:val="center"/>
          </w:tcPr>
          <w:p>
            <w:pPr>
              <w:pStyle w:val="55"/>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55"/>
              <w:jc w:val="center"/>
              <w:rPr>
                <w:szCs w:val="21"/>
              </w:rPr>
            </w:pPr>
            <w:r>
              <w:rPr>
                <w:szCs w:val="21"/>
              </w:rPr>
              <w:t>2~4分</w:t>
            </w:r>
          </w:p>
        </w:tc>
        <w:tc>
          <w:tcPr>
            <w:tcW w:w="696"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8" w:type="dxa"/>
            <w:vMerge w:val="continue"/>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szCs w:val="21"/>
              </w:rPr>
            </w:pPr>
          </w:p>
        </w:tc>
        <w:tc>
          <w:tcPr>
            <w:tcW w:w="1206" w:type="dxa"/>
            <w:vMerge w:val="continue"/>
            <w:tcBorders>
              <w:top w:val="single" w:color="auto" w:sz="6" w:space="0"/>
              <w:bottom w:val="single" w:color="auto" w:sz="12" w:space="0"/>
            </w:tcBorders>
            <w:vAlign w:val="center"/>
          </w:tcPr>
          <w:p>
            <w:pPr>
              <w:pStyle w:val="55"/>
              <w:jc w:val="center"/>
              <w:rPr>
                <w:szCs w:val="21"/>
              </w:rPr>
            </w:pPr>
          </w:p>
        </w:tc>
        <w:tc>
          <w:tcPr>
            <w:tcW w:w="367" w:type="dxa"/>
            <w:vMerge w:val="continue"/>
            <w:tcBorders>
              <w:top w:val="single" w:color="auto" w:sz="6" w:space="0"/>
              <w:bottom w:val="single" w:color="auto" w:sz="12" w:space="0"/>
            </w:tcBorders>
            <w:vAlign w:val="center"/>
          </w:tcPr>
          <w:p>
            <w:pPr>
              <w:pStyle w:val="55"/>
              <w:jc w:val="center"/>
              <w:rPr>
                <w:sz w:val="15"/>
                <w:szCs w:val="15"/>
              </w:rPr>
            </w:pPr>
          </w:p>
        </w:tc>
        <w:tc>
          <w:tcPr>
            <w:tcW w:w="4736" w:type="dxa"/>
            <w:tcBorders>
              <w:top w:val="single" w:color="auto" w:sz="6" w:space="0"/>
              <w:bottom w:val="single" w:color="auto" w:sz="12" w:space="0"/>
            </w:tcBorders>
            <w:vAlign w:val="center"/>
          </w:tcPr>
          <w:p>
            <w:pPr>
              <w:pStyle w:val="55"/>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szCs w:val="21"/>
              </w:rPr>
            </w:pPr>
            <w:r>
              <w:rPr>
                <w:szCs w:val="21"/>
              </w:rPr>
              <w:t>0~1分</w:t>
            </w:r>
          </w:p>
        </w:tc>
        <w:tc>
          <w:tcPr>
            <w:tcW w:w="696"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8" w:type="dxa"/>
            <w:vMerge w:val="continue"/>
            <w:tcBorders>
              <w:bottom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55"/>
              <w:jc w:val="center"/>
              <w:rPr>
                <w:szCs w:val="21"/>
              </w:rPr>
            </w:pPr>
            <w:r>
              <w:rPr>
                <w:rFonts w:hint="eastAsia"/>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sz w:val="15"/>
                <w:szCs w:val="15"/>
              </w:rPr>
            </w:pPr>
            <w:r>
              <w:rPr>
                <w:sz w:val="15"/>
                <w:szCs w:val="15"/>
              </w:rPr>
              <w:t>5分</w:t>
            </w:r>
          </w:p>
        </w:tc>
        <w:tc>
          <w:tcPr>
            <w:tcW w:w="4736" w:type="dxa"/>
            <w:tcBorders>
              <w:top w:val="single" w:color="auto" w:sz="12" w:space="0"/>
              <w:bottom w:val="single" w:color="auto" w:sz="6" w:space="0"/>
            </w:tcBorders>
            <w:vAlign w:val="center"/>
          </w:tcPr>
          <w:p>
            <w:pPr>
              <w:pStyle w:val="55"/>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55"/>
              <w:jc w:val="center"/>
              <w:rPr>
                <w:szCs w:val="21"/>
              </w:rPr>
            </w:pPr>
            <w:r>
              <w:rPr>
                <w:szCs w:val="21"/>
              </w:rPr>
              <w:t>5分</w:t>
            </w:r>
          </w:p>
        </w:tc>
        <w:tc>
          <w:tcPr>
            <w:tcW w:w="696"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9" w:type="dxa"/>
            <w:vMerge w:val="restart"/>
            <w:tcBorders>
              <w:top w:val="single" w:color="auto" w:sz="12" w:space="0"/>
            </w:tcBorders>
          </w:tcPr>
          <w:p>
            <w:pPr>
              <w:pStyle w:val="55"/>
              <w:jc w:val="center"/>
              <w:rPr>
                <w:szCs w:val="21"/>
              </w:rPr>
            </w:pPr>
          </w:p>
        </w:tc>
        <w:tc>
          <w:tcPr>
            <w:tcW w:w="708" w:type="dxa"/>
            <w:vMerge w:val="restart"/>
            <w:tcBorders>
              <w:top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szCs w:val="21"/>
              </w:rPr>
            </w:pPr>
          </w:p>
        </w:tc>
        <w:tc>
          <w:tcPr>
            <w:tcW w:w="1206" w:type="dxa"/>
            <w:vMerge w:val="continue"/>
            <w:tcBorders>
              <w:top w:val="single" w:color="auto" w:sz="6" w:space="0"/>
              <w:bottom w:val="single" w:color="auto" w:sz="6" w:space="0"/>
            </w:tcBorders>
            <w:vAlign w:val="center"/>
          </w:tcPr>
          <w:p>
            <w:pPr>
              <w:pStyle w:val="55"/>
              <w:jc w:val="center"/>
              <w:rPr>
                <w:szCs w:val="21"/>
              </w:rPr>
            </w:pPr>
          </w:p>
        </w:tc>
        <w:tc>
          <w:tcPr>
            <w:tcW w:w="367" w:type="dxa"/>
            <w:vMerge w:val="continue"/>
            <w:tcBorders>
              <w:top w:val="single" w:color="auto" w:sz="6" w:space="0"/>
              <w:bottom w:val="single" w:color="auto" w:sz="6" w:space="0"/>
            </w:tcBorders>
            <w:vAlign w:val="center"/>
          </w:tcPr>
          <w:p>
            <w:pPr>
              <w:pStyle w:val="55"/>
              <w:jc w:val="center"/>
              <w:rPr>
                <w:sz w:val="15"/>
                <w:szCs w:val="15"/>
              </w:rPr>
            </w:pPr>
          </w:p>
        </w:tc>
        <w:tc>
          <w:tcPr>
            <w:tcW w:w="4736" w:type="dxa"/>
            <w:tcBorders>
              <w:top w:val="single" w:color="auto" w:sz="6" w:space="0"/>
              <w:bottom w:val="single" w:color="auto" w:sz="6" w:space="0"/>
            </w:tcBorders>
            <w:vAlign w:val="center"/>
          </w:tcPr>
          <w:p>
            <w:pPr>
              <w:pStyle w:val="55"/>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55"/>
              <w:jc w:val="center"/>
              <w:rPr>
                <w:szCs w:val="21"/>
              </w:rPr>
            </w:pPr>
            <w:r>
              <w:rPr>
                <w:szCs w:val="21"/>
              </w:rPr>
              <w:t>2~4分</w:t>
            </w:r>
          </w:p>
        </w:tc>
        <w:tc>
          <w:tcPr>
            <w:tcW w:w="696"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9" w:type="dxa"/>
            <w:vMerge w:val="continue"/>
          </w:tcPr>
          <w:p>
            <w:pPr>
              <w:pStyle w:val="55"/>
              <w:jc w:val="center"/>
              <w:rPr>
                <w:szCs w:val="21"/>
              </w:rPr>
            </w:pPr>
          </w:p>
        </w:tc>
        <w:tc>
          <w:tcPr>
            <w:tcW w:w="708" w:type="dxa"/>
            <w:vMerge w:val="continue"/>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szCs w:val="21"/>
              </w:rPr>
            </w:pPr>
          </w:p>
        </w:tc>
        <w:tc>
          <w:tcPr>
            <w:tcW w:w="1206" w:type="dxa"/>
            <w:vMerge w:val="continue"/>
            <w:tcBorders>
              <w:top w:val="single" w:color="auto" w:sz="6" w:space="0"/>
              <w:bottom w:val="single" w:color="auto" w:sz="12" w:space="0"/>
            </w:tcBorders>
            <w:vAlign w:val="center"/>
          </w:tcPr>
          <w:p>
            <w:pPr>
              <w:pStyle w:val="55"/>
              <w:jc w:val="center"/>
              <w:rPr>
                <w:szCs w:val="21"/>
              </w:rPr>
            </w:pPr>
          </w:p>
        </w:tc>
        <w:tc>
          <w:tcPr>
            <w:tcW w:w="367" w:type="dxa"/>
            <w:vMerge w:val="continue"/>
            <w:tcBorders>
              <w:top w:val="single" w:color="auto" w:sz="6" w:space="0"/>
              <w:bottom w:val="single" w:color="auto" w:sz="12" w:space="0"/>
            </w:tcBorders>
            <w:vAlign w:val="center"/>
          </w:tcPr>
          <w:p>
            <w:pPr>
              <w:pStyle w:val="55"/>
              <w:jc w:val="center"/>
              <w:rPr>
                <w:sz w:val="15"/>
                <w:szCs w:val="15"/>
              </w:rPr>
            </w:pPr>
          </w:p>
        </w:tc>
        <w:tc>
          <w:tcPr>
            <w:tcW w:w="4736" w:type="dxa"/>
            <w:tcBorders>
              <w:top w:val="single" w:color="auto" w:sz="6" w:space="0"/>
              <w:bottom w:val="single" w:color="auto" w:sz="12" w:space="0"/>
            </w:tcBorders>
            <w:vAlign w:val="center"/>
          </w:tcPr>
          <w:p>
            <w:pPr>
              <w:pStyle w:val="55"/>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szCs w:val="21"/>
              </w:rPr>
            </w:pPr>
            <w:r>
              <w:rPr>
                <w:szCs w:val="21"/>
              </w:rPr>
              <w:t>0~1分</w:t>
            </w:r>
          </w:p>
        </w:tc>
        <w:tc>
          <w:tcPr>
            <w:tcW w:w="696"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9" w:type="dxa"/>
            <w:vMerge w:val="continue"/>
            <w:tcBorders>
              <w:bottom w:val="single" w:color="auto" w:sz="12" w:space="0"/>
            </w:tcBorders>
          </w:tcPr>
          <w:p>
            <w:pPr>
              <w:pStyle w:val="55"/>
              <w:jc w:val="center"/>
              <w:rPr>
                <w:szCs w:val="21"/>
              </w:rPr>
            </w:pPr>
          </w:p>
        </w:tc>
        <w:tc>
          <w:tcPr>
            <w:tcW w:w="708" w:type="dxa"/>
            <w:vMerge w:val="continue"/>
            <w:tcBorders>
              <w:bottom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szCs w:val="21"/>
              </w:rPr>
            </w:pPr>
            <w:r>
              <w:rPr>
                <w:rFonts w:hint="eastAsia"/>
                <w:szCs w:val="21"/>
              </w:rPr>
              <w:t>8</w:t>
            </w:r>
          </w:p>
        </w:tc>
        <w:tc>
          <w:tcPr>
            <w:tcW w:w="1206" w:type="dxa"/>
            <w:vMerge w:val="restart"/>
            <w:tcBorders>
              <w:top w:val="single" w:color="auto" w:sz="12" w:space="0"/>
            </w:tcBorders>
            <w:vAlign w:val="center"/>
          </w:tcPr>
          <w:p>
            <w:pPr>
              <w:pStyle w:val="55"/>
              <w:jc w:val="center"/>
              <w:rPr>
                <w:szCs w:val="21"/>
              </w:rPr>
            </w:pPr>
            <w:r>
              <w:rPr>
                <w:rFonts w:hint="eastAsia"/>
                <w:szCs w:val="21"/>
              </w:rPr>
              <w:t>安全文明施工措施</w:t>
            </w:r>
          </w:p>
        </w:tc>
        <w:tc>
          <w:tcPr>
            <w:tcW w:w="367" w:type="dxa"/>
            <w:tcBorders>
              <w:top w:val="single" w:color="auto" w:sz="12" w:space="0"/>
              <w:bottom w:val="single" w:color="auto" w:sz="4" w:space="0"/>
            </w:tcBorders>
            <w:vAlign w:val="center"/>
          </w:tcPr>
          <w:p>
            <w:pPr>
              <w:pStyle w:val="55"/>
              <w:jc w:val="center"/>
              <w:rPr>
                <w:sz w:val="15"/>
                <w:szCs w:val="15"/>
              </w:rPr>
            </w:pPr>
            <w:r>
              <w:rPr>
                <w:rFonts w:hint="eastAsia"/>
                <w:sz w:val="15"/>
                <w:szCs w:val="15"/>
              </w:rPr>
              <w:t>4</w:t>
            </w:r>
          </w:p>
        </w:tc>
        <w:tc>
          <w:tcPr>
            <w:tcW w:w="4736" w:type="dxa"/>
            <w:tcBorders>
              <w:top w:val="single" w:color="auto" w:sz="12" w:space="0"/>
              <w:bottom w:val="single" w:color="auto" w:sz="6" w:space="0"/>
            </w:tcBorders>
            <w:vAlign w:val="center"/>
          </w:tcPr>
          <w:p>
            <w:pPr>
              <w:pStyle w:val="55"/>
              <w:rPr>
                <w:szCs w:val="21"/>
              </w:rPr>
            </w:pPr>
            <w:r>
              <w:rPr>
                <w:rFonts w:hint="eastAsia"/>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12" w:space="0"/>
              <w:bottom w:val="single" w:color="auto" w:sz="6" w:space="0"/>
            </w:tcBorders>
          </w:tcPr>
          <w:p>
            <w:pPr>
              <w:pStyle w:val="55"/>
              <w:jc w:val="center"/>
              <w:rPr>
                <w:szCs w:val="21"/>
              </w:rPr>
            </w:pPr>
          </w:p>
        </w:tc>
        <w:tc>
          <w:tcPr>
            <w:tcW w:w="709" w:type="dxa"/>
            <w:tcBorders>
              <w:top w:val="single" w:color="auto" w:sz="12" w:space="0"/>
              <w:bottom w:val="single" w:color="auto" w:sz="6" w:space="0"/>
            </w:tcBorders>
          </w:tcPr>
          <w:p>
            <w:pPr>
              <w:pStyle w:val="55"/>
              <w:jc w:val="center"/>
              <w:rPr>
                <w:szCs w:val="21"/>
              </w:rPr>
            </w:pPr>
          </w:p>
        </w:tc>
        <w:tc>
          <w:tcPr>
            <w:tcW w:w="709" w:type="dxa"/>
            <w:tcBorders>
              <w:top w:val="single" w:color="auto" w:sz="12" w:space="0"/>
              <w:bottom w:val="single" w:color="auto" w:sz="6" w:space="0"/>
            </w:tcBorders>
          </w:tcPr>
          <w:p>
            <w:pPr>
              <w:pStyle w:val="55"/>
              <w:jc w:val="center"/>
              <w:rPr>
                <w:szCs w:val="21"/>
              </w:rPr>
            </w:pPr>
          </w:p>
        </w:tc>
        <w:tc>
          <w:tcPr>
            <w:tcW w:w="709" w:type="dxa"/>
            <w:tcBorders>
              <w:top w:val="single" w:color="auto" w:sz="12" w:space="0"/>
              <w:bottom w:val="single" w:color="auto" w:sz="6" w:space="0"/>
            </w:tcBorders>
          </w:tcPr>
          <w:p>
            <w:pPr>
              <w:pStyle w:val="55"/>
              <w:jc w:val="center"/>
              <w:rPr>
                <w:szCs w:val="21"/>
              </w:rPr>
            </w:pPr>
          </w:p>
        </w:tc>
        <w:tc>
          <w:tcPr>
            <w:tcW w:w="708" w:type="dxa"/>
            <w:tcBorders>
              <w:top w:val="single" w:color="auto" w:sz="12" w:space="0"/>
              <w:bottom w:val="single" w:color="auto" w:sz="6"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szCs w:val="21"/>
              </w:rPr>
            </w:pPr>
          </w:p>
        </w:tc>
        <w:tc>
          <w:tcPr>
            <w:tcW w:w="1206" w:type="dxa"/>
            <w:vMerge w:val="continue"/>
            <w:vAlign w:val="center"/>
          </w:tcPr>
          <w:p>
            <w:pPr>
              <w:pStyle w:val="55"/>
              <w:jc w:val="center"/>
              <w:rPr>
                <w:szCs w:val="21"/>
              </w:rPr>
            </w:pPr>
          </w:p>
        </w:tc>
        <w:tc>
          <w:tcPr>
            <w:tcW w:w="367" w:type="dxa"/>
            <w:tcBorders>
              <w:top w:val="single" w:color="auto" w:sz="4" w:space="0"/>
              <w:bottom w:val="single" w:color="auto" w:sz="4" w:space="0"/>
            </w:tcBorders>
            <w:vAlign w:val="center"/>
          </w:tcPr>
          <w:p>
            <w:pPr>
              <w:pStyle w:val="55"/>
              <w:jc w:val="center"/>
              <w:rPr>
                <w:sz w:val="15"/>
                <w:szCs w:val="15"/>
              </w:rPr>
            </w:pPr>
            <w:r>
              <w:rPr>
                <w:rFonts w:hint="eastAsia"/>
                <w:sz w:val="15"/>
                <w:szCs w:val="15"/>
              </w:rPr>
              <w:t>4</w:t>
            </w:r>
          </w:p>
        </w:tc>
        <w:tc>
          <w:tcPr>
            <w:tcW w:w="4736" w:type="dxa"/>
            <w:tcBorders>
              <w:top w:val="single" w:color="auto" w:sz="6" w:space="0"/>
              <w:bottom w:val="single" w:color="auto" w:sz="4" w:space="0"/>
            </w:tcBorders>
            <w:vAlign w:val="center"/>
          </w:tcPr>
          <w:p>
            <w:pPr>
              <w:pStyle w:val="55"/>
              <w:rPr>
                <w:szCs w:val="21"/>
              </w:rPr>
            </w:pPr>
            <w:r>
              <w:rPr>
                <w:rFonts w:hint="eastAsia"/>
                <w:szCs w:val="21"/>
              </w:rPr>
              <w:t>技术标中有本工程的安全员</w:t>
            </w:r>
          </w:p>
        </w:tc>
        <w:tc>
          <w:tcPr>
            <w:tcW w:w="934" w:type="dxa"/>
            <w:tcBorders>
              <w:top w:val="single" w:color="auto" w:sz="6" w:space="0"/>
              <w:bottom w:val="single" w:color="auto" w:sz="4" w:space="0"/>
            </w:tcBorders>
            <w:vAlign w:val="center"/>
          </w:tcPr>
          <w:p>
            <w:pPr>
              <w:pStyle w:val="55"/>
              <w:jc w:val="center"/>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6" w:space="0"/>
              <w:bottom w:val="single" w:color="auto" w:sz="4" w:space="0"/>
            </w:tcBorders>
          </w:tcPr>
          <w:p>
            <w:pPr>
              <w:pStyle w:val="55"/>
              <w:jc w:val="center"/>
              <w:rPr>
                <w:szCs w:val="21"/>
              </w:rPr>
            </w:pPr>
          </w:p>
        </w:tc>
        <w:tc>
          <w:tcPr>
            <w:tcW w:w="709" w:type="dxa"/>
            <w:tcBorders>
              <w:top w:val="single" w:color="auto" w:sz="6" w:space="0"/>
              <w:bottom w:val="single" w:color="auto" w:sz="4" w:space="0"/>
            </w:tcBorders>
          </w:tcPr>
          <w:p>
            <w:pPr>
              <w:pStyle w:val="55"/>
              <w:jc w:val="center"/>
              <w:rPr>
                <w:szCs w:val="21"/>
              </w:rPr>
            </w:pPr>
          </w:p>
        </w:tc>
        <w:tc>
          <w:tcPr>
            <w:tcW w:w="709" w:type="dxa"/>
            <w:tcBorders>
              <w:top w:val="single" w:color="auto" w:sz="6" w:space="0"/>
              <w:bottom w:val="single" w:color="auto" w:sz="4" w:space="0"/>
            </w:tcBorders>
          </w:tcPr>
          <w:p>
            <w:pPr>
              <w:pStyle w:val="55"/>
              <w:jc w:val="center"/>
              <w:rPr>
                <w:szCs w:val="21"/>
              </w:rPr>
            </w:pPr>
          </w:p>
        </w:tc>
        <w:tc>
          <w:tcPr>
            <w:tcW w:w="709" w:type="dxa"/>
            <w:tcBorders>
              <w:top w:val="single" w:color="auto" w:sz="6" w:space="0"/>
              <w:bottom w:val="single" w:color="auto" w:sz="4" w:space="0"/>
            </w:tcBorders>
          </w:tcPr>
          <w:p>
            <w:pPr>
              <w:pStyle w:val="55"/>
              <w:jc w:val="center"/>
              <w:rPr>
                <w:szCs w:val="21"/>
              </w:rPr>
            </w:pPr>
          </w:p>
        </w:tc>
        <w:tc>
          <w:tcPr>
            <w:tcW w:w="708" w:type="dxa"/>
            <w:tcBorders>
              <w:top w:val="single" w:color="auto" w:sz="6" w:space="0"/>
              <w:bottom w:val="single" w:color="auto" w:sz="4"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szCs w:val="21"/>
              </w:rPr>
            </w:pPr>
          </w:p>
        </w:tc>
        <w:tc>
          <w:tcPr>
            <w:tcW w:w="1206" w:type="dxa"/>
            <w:vMerge w:val="continue"/>
            <w:vAlign w:val="center"/>
          </w:tcPr>
          <w:p>
            <w:pPr>
              <w:pStyle w:val="55"/>
              <w:jc w:val="center"/>
              <w:rPr>
                <w:szCs w:val="21"/>
              </w:rPr>
            </w:pPr>
          </w:p>
        </w:tc>
        <w:tc>
          <w:tcPr>
            <w:tcW w:w="367" w:type="dxa"/>
            <w:tcBorders>
              <w:top w:val="single" w:color="auto" w:sz="4" w:space="0"/>
              <w:bottom w:val="single" w:color="auto" w:sz="4" w:space="0"/>
            </w:tcBorders>
            <w:vAlign w:val="center"/>
          </w:tcPr>
          <w:p>
            <w:pPr>
              <w:pStyle w:val="55"/>
              <w:jc w:val="center"/>
              <w:rPr>
                <w:sz w:val="15"/>
                <w:szCs w:val="15"/>
              </w:rPr>
            </w:pPr>
            <w:r>
              <w:rPr>
                <w:rFonts w:hint="eastAsia"/>
                <w:sz w:val="15"/>
                <w:szCs w:val="15"/>
              </w:rPr>
              <w:t>4</w:t>
            </w:r>
          </w:p>
        </w:tc>
        <w:tc>
          <w:tcPr>
            <w:tcW w:w="4736" w:type="dxa"/>
            <w:tcBorders>
              <w:top w:val="single" w:color="auto" w:sz="4" w:space="0"/>
              <w:bottom w:val="single" w:color="auto" w:sz="4" w:space="0"/>
            </w:tcBorders>
            <w:vAlign w:val="center"/>
          </w:tcPr>
          <w:p>
            <w:pPr>
              <w:pStyle w:val="55"/>
              <w:rPr>
                <w:szCs w:val="21"/>
              </w:rPr>
            </w:pPr>
            <w:r>
              <w:rPr>
                <w:rFonts w:hint="eastAsia"/>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4" w:space="0"/>
              <w:bottom w:val="single" w:color="auto" w:sz="6" w:space="0"/>
            </w:tcBorders>
          </w:tcPr>
          <w:p>
            <w:pPr>
              <w:pStyle w:val="55"/>
              <w:jc w:val="center"/>
              <w:rPr>
                <w:szCs w:val="21"/>
              </w:rPr>
            </w:pPr>
          </w:p>
        </w:tc>
        <w:tc>
          <w:tcPr>
            <w:tcW w:w="709" w:type="dxa"/>
            <w:tcBorders>
              <w:top w:val="single" w:color="auto" w:sz="4" w:space="0"/>
              <w:bottom w:val="single" w:color="auto" w:sz="6" w:space="0"/>
            </w:tcBorders>
          </w:tcPr>
          <w:p>
            <w:pPr>
              <w:pStyle w:val="55"/>
              <w:jc w:val="center"/>
              <w:rPr>
                <w:szCs w:val="21"/>
              </w:rPr>
            </w:pPr>
          </w:p>
        </w:tc>
        <w:tc>
          <w:tcPr>
            <w:tcW w:w="709" w:type="dxa"/>
            <w:tcBorders>
              <w:top w:val="single" w:color="auto" w:sz="4" w:space="0"/>
              <w:bottom w:val="single" w:color="auto" w:sz="6" w:space="0"/>
            </w:tcBorders>
          </w:tcPr>
          <w:p>
            <w:pPr>
              <w:pStyle w:val="55"/>
              <w:jc w:val="center"/>
              <w:rPr>
                <w:szCs w:val="21"/>
              </w:rPr>
            </w:pPr>
          </w:p>
        </w:tc>
        <w:tc>
          <w:tcPr>
            <w:tcW w:w="709" w:type="dxa"/>
            <w:tcBorders>
              <w:top w:val="single" w:color="auto" w:sz="4" w:space="0"/>
              <w:bottom w:val="single" w:color="auto" w:sz="6" w:space="0"/>
            </w:tcBorders>
          </w:tcPr>
          <w:p>
            <w:pPr>
              <w:pStyle w:val="55"/>
              <w:jc w:val="center"/>
              <w:rPr>
                <w:szCs w:val="21"/>
              </w:rPr>
            </w:pPr>
          </w:p>
        </w:tc>
        <w:tc>
          <w:tcPr>
            <w:tcW w:w="708" w:type="dxa"/>
            <w:tcBorders>
              <w:top w:val="single" w:color="auto" w:sz="4" w:space="0"/>
              <w:bottom w:val="single" w:color="auto" w:sz="6"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szCs w:val="21"/>
              </w:rPr>
            </w:pPr>
          </w:p>
        </w:tc>
        <w:tc>
          <w:tcPr>
            <w:tcW w:w="1206" w:type="dxa"/>
            <w:vMerge w:val="continue"/>
            <w:tcBorders>
              <w:bottom w:val="single" w:color="auto" w:sz="12" w:space="0"/>
            </w:tcBorders>
            <w:vAlign w:val="center"/>
          </w:tcPr>
          <w:p>
            <w:pPr>
              <w:pStyle w:val="55"/>
              <w:jc w:val="center"/>
              <w:rPr>
                <w:szCs w:val="21"/>
              </w:rPr>
            </w:pPr>
          </w:p>
        </w:tc>
        <w:tc>
          <w:tcPr>
            <w:tcW w:w="367" w:type="dxa"/>
            <w:tcBorders>
              <w:top w:val="single" w:color="auto" w:sz="4" w:space="0"/>
              <w:bottom w:val="single" w:color="auto" w:sz="12" w:space="0"/>
            </w:tcBorders>
            <w:vAlign w:val="center"/>
          </w:tcPr>
          <w:p>
            <w:pPr>
              <w:pStyle w:val="55"/>
              <w:rPr>
                <w:sz w:val="16"/>
                <w:szCs w:val="21"/>
              </w:rPr>
            </w:pPr>
            <w:r>
              <w:rPr>
                <w:rFonts w:hint="eastAsia"/>
                <w:sz w:val="16"/>
                <w:szCs w:val="21"/>
              </w:rPr>
              <w:t>4</w:t>
            </w:r>
          </w:p>
        </w:tc>
        <w:tc>
          <w:tcPr>
            <w:tcW w:w="4736" w:type="dxa"/>
            <w:tcBorders>
              <w:top w:val="single" w:color="auto" w:sz="4" w:space="0"/>
              <w:bottom w:val="single" w:color="auto" w:sz="12" w:space="0"/>
            </w:tcBorders>
            <w:vAlign w:val="center"/>
          </w:tcPr>
          <w:p>
            <w:pPr>
              <w:pStyle w:val="55"/>
              <w:rPr>
                <w:szCs w:val="21"/>
              </w:rPr>
            </w:pPr>
            <w:r>
              <w:rPr>
                <w:rFonts w:hint="eastAsia"/>
                <w:szCs w:val="21"/>
              </w:rPr>
              <w:t>针对本工程施工安全文明施工实施方案</w:t>
            </w:r>
          </w:p>
        </w:tc>
        <w:tc>
          <w:tcPr>
            <w:tcW w:w="934" w:type="dxa"/>
            <w:tcBorders>
              <w:top w:val="single" w:color="auto" w:sz="6" w:space="0"/>
              <w:bottom w:val="single" w:color="auto" w:sz="12" w:space="0"/>
            </w:tcBorders>
            <w:vAlign w:val="center"/>
          </w:tcPr>
          <w:p>
            <w:pPr>
              <w:pStyle w:val="55"/>
              <w:jc w:val="center"/>
              <w:rPr>
                <w:szCs w:val="21"/>
              </w:rPr>
            </w:pPr>
            <w:r>
              <w:rPr>
                <w:rFonts w:hint="eastAsia"/>
                <w:szCs w:val="21"/>
              </w:rPr>
              <w:t>0</w:t>
            </w:r>
            <w:r>
              <w:rPr>
                <w:szCs w:val="21"/>
              </w:rPr>
              <w:t>~</w:t>
            </w:r>
            <w:r>
              <w:rPr>
                <w:rFonts w:hint="eastAsia"/>
                <w:szCs w:val="21"/>
              </w:rPr>
              <w:t>4</w:t>
            </w:r>
            <w:r>
              <w:rPr>
                <w:szCs w:val="21"/>
              </w:rPr>
              <w:t>分</w:t>
            </w:r>
          </w:p>
        </w:tc>
        <w:tc>
          <w:tcPr>
            <w:tcW w:w="696" w:type="dxa"/>
            <w:tcBorders>
              <w:top w:val="single" w:color="auto" w:sz="6" w:space="0"/>
              <w:bottom w:val="single" w:color="auto" w:sz="12" w:space="0"/>
            </w:tcBorders>
          </w:tcPr>
          <w:p>
            <w:pPr>
              <w:pStyle w:val="55"/>
              <w:jc w:val="center"/>
              <w:rPr>
                <w:szCs w:val="21"/>
              </w:rPr>
            </w:pPr>
          </w:p>
        </w:tc>
        <w:tc>
          <w:tcPr>
            <w:tcW w:w="709" w:type="dxa"/>
            <w:tcBorders>
              <w:top w:val="single" w:color="auto" w:sz="6" w:space="0"/>
              <w:bottom w:val="single" w:color="auto" w:sz="12" w:space="0"/>
            </w:tcBorders>
          </w:tcPr>
          <w:p>
            <w:pPr>
              <w:pStyle w:val="55"/>
              <w:jc w:val="center"/>
              <w:rPr>
                <w:szCs w:val="21"/>
              </w:rPr>
            </w:pPr>
          </w:p>
        </w:tc>
        <w:tc>
          <w:tcPr>
            <w:tcW w:w="709" w:type="dxa"/>
            <w:tcBorders>
              <w:top w:val="single" w:color="auto" w:sz="6" w:space="0"/>
              <w:bottom w:val="single" w:color="auto" w:sz="12" w:space="0"/>
            </w:tcBorders>
          </w:tcPr>
          <w:p>
            <w:pPr>
              <w:pStyle w:val="55"/>
              <w:jc w:val="center"/>
              <w:rPr>
                <w:szCs w:val="21"/>
              </w:rPr>
            </w:pPr>
          </w:p>
        </w:tc>
        <w:tc>
          <w:tcPr>
            <w:tcW w:w="709" w:type="dxa"/>
            <w:tcBorders>
              <w:top w:val="single" w:color="auto" w:sz="6" w:space="0"/>
              <w:bottom w:val="single" w:color="auto" w:sz="12" w:space="0"/>
            </w:tcBorders>
          </w:tcPr>
          <w:p>
            <w:pPr>
              <w:pStyle w:val="55"/>
              <w:jc w:val="center"/>
              <w:rPr>
                <w:szCs w:val="21"/>
              </w:rPr>
            </w:pPr>
          </w:p>
        </w:tc>
        <w:tc>
          <w:tcPr>
            <w:tcW w:w="708" w:type="dxa"/>
            <w:tcBorders>
              <w:top w:val="single" w:color="auto" w:sz="6" w:space="0"/>
              <w:bottom w:val="single" w:color="auto" w:sz="12" w:space="0"/>
            </w:tcBorders>
          </w:tcPr>
          <w:p>
            <w:pPr>
              <w:pStyle w:val="5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szCs w:val="21"/>
              </w:rPr>
            </w:pPr>
            <w:r>
              <w:rPr>
                <w:rFonts w:hint="eastAsia"/>
                <w:szCs w:val="21"/>
              </w:rPr>
              <w:t>9</w:t>
            </w:r>
          </w:p>
        </w:tc>
        <w:tc>
          <w:tcPr>
            <w:tcW w:w="6309" w:type="dxa"/>
            <w:gridSpan w:val="3"/>
            <w:tcBorders>
              <w:top w:val="single" w:color="auto" w:sz="12" w:space="0"/>
            </w:tcBorders>
            <w:vAlign w:val="center"/>
          </w:tcPr>
          <w:p>
            <w:pPr>
              <w:pStyle w:val="55"/>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55"/>
              <w:jc w:val="center"/>
              <w:rPr>
                <w:szCs w:val="21"/>
              </w:rPr>
            </w:pPr>
          </w:p>
        </w:tc>
        <w:tc>
          <w:tcPr>
            <w:tcW w:w="696" w:type="dxa"/>
            <w:tcBorders>
              <w:top w:val="single" w:color="auto" w:sz="12" w:space="0"/>
            </w:tcBorders>
          </w:tcPr>
          <w:p>
            <w:pPr>
              <w:pStyle w:val="55"/>
              <w:jc w:val="center"/>
              <w:rPr>
                <w:szCs w:val="21"/>
              </w:rPr>
            </w:pPr>
          </w:p>
        </w:tc>
        <w:tc>
          <w:tcPr>
            <w:tcW w:w="709" w:type="dxa"/>
            <w:tcBorders>
              <w:top w:val="single" w:color="auto" w:sz="12" w:space="0"/>
            </w:tcBorders>
          </w:tcPr>
          <w:p>
            <w:pPr>
              <w:pStyle w:val="55"/>
              <w:jc w:val="center"/>
              <w:rPr>
                <w:szCs w:val="21"/>
              </w:rPr>
            </w:pPr>
          </w:p>
        </w:tc>
        <w:tc>
          <w:tcPr>
            <w:tcW w:w="709" w:type="dxa"/>
            <w:tcBorders>
              <w:top w:val="single" w:color="auto" w:sz="12" w:space="0"/>
            </w:tcBorders>
          </w:tcPr>
          <w:p>
            <w:pPr>
              <w:pStyle w:val="55"/>
              <w:jc w:val="center"/>
              <w:rPr>
                <w:szCs w:val="21"/>
              </w:rPr>
            </w:pPr>
          </w:p>
        </w:tc>
        <w:tc>
          <w:tcPr>
            <w:tcW w:w="709" w:type="dxa"/>
            <w:tcBorders>
              <w:top w:val="single" w:color="auto" w:sz="12" w:space="0"/>
            </w:tcBorders>
          </w:tcPr>
          <w:p>
            <w:pPr>
              <w:pStyle w:val="55"/>
              <w:jc w:val="center"/>
              <w:rPr>
                <w:szCs w:val="21"/>
              </w:rPr>
            </w:pPr>
          </w:p>
        </w:tc>
        <w:tc>
          <w:tcPr>
            <w:tcW w:w="708" w:type="dxa"/>
            <w:tcBorders>
              <w:top w:val="single" w:color="auto" w:sz="12" w:space="0"/>
            </w:tcBorders>
          </w:tcPr>
          <w:p>
            <w:pPr>
              <w:pStyle w:val="55"/>
              <w:jc w:val="center"/>
              <w:rPr>
                <w:szCs w:val="21"/>
              </w:rPr>
            </w:pPr>
          </w:p>
        </w:tc>
      </w:tr>
    </w:tbl>
    <w:p>
      <w:pPr>
        <w:tabs>
          <w:tab w:val="left" w:pos="2055"/>
        </w:tabs>
        <w:ind w:firstLine="5355" w:firstLineChars="2550"/>
      </w:pPr>
      <w:r>
        <w:rPr>
          <w:rFonts w:hint="eastAsia"/>
        </w:rPr>
        <w:t>评委签名：</w:t>
      </w:r>
      <w: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2055"/>
        </w:tabs>
        <w:ind w:firstLine="0" w:firstLineChars="0"/>
        <w:jc w:val="center"/>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3220" w:type="dxa"/>
        <w:tblInd w:w="113" w:type="dxa"/>
        <w:tblLayout w:type="fixed"/>
        <w:tblCellMar>
          <w:top w:w="0" w:type="dxa"/>
          <w:left w:w="108" w:type="dxa"/>
          <w:bottom w:w="0" w:type="dxa"/>
          <w:right w:w="108" w:type="dxa"/>
        </w:tblCellMar>
      </w:tblPr>
      <w:tblGrid>
        <w:gridCol w:w="1060"/>
        <w:gridCol w:w="760"/>
        <w:gridCol w:w="4300"/>
        <w:gridCol w:w="1860"/>
        <w:gridCol w:w="1600"/>
        <w:gridCol w:w="1380"/>
        <w:gridCol w:w="2260"/>
      </w:tblGrid>
      <w:tr>
        <w:tblPrEx>
          <w:tblLayout w:type="fixed"/>
          <w:tblCellMar>
            <w:top w:w="0" w:type="dxa"/>
            <w:left w:w="108" w:type="dxa"/>
            <w:bottom w:w="0" w:type="dxa"/>
            <w:right w:w="108" w:type="dxa"/>
          </w:tblCellMar>
        </w:tblPrEx>
        <w:trPr>
          <w:trHeight w:val="503" w:hRule="atLeast"/>
        </w:trPr>
        <w:tc>
          <w:tcPr>
            <w:tcW w:w="958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uto"/>
              <w:ind w:firstLine="0" w:firstLineChars="0"/>
              <w:jc w:val="left"/>
              <w:rPr>
                <w:rFonts w:ascii="宋体" w:hAnsi="宋体" w:cs="宋体"/>
                <w:color w:val="000000"/>
                <w:kern w:val="0"/>
              </w:rPr>
            </w:pPr>
            <w:r>
              <w:rPr>
                <w:rFonts w:hint="eastAsia" w:ascii="宋体" w:hAnsi="宋体" w:cs="宋体"/>
                <w:color w:val="000000"/>
                <w:kern w:val="0"/>
              </w:rPr>
              <w:t>项目名称：</w:t>
            </w:r>
            <w:r>
              <w:rPr>
                <w:rFonts w:ascii="宋体" w:hAnsi="宋体" w:cs="宋体"/>
                <w:color w:val="000000"/>
                <w:kern w:val="0"/>
              </w:rPr>
              <w:t xml:space="preserve"> </w:t>
            </w:r>
          </w:p>
        </w:tc>
        <w:tc>
          <w:tcPr>
            <w:tcW w:w="3640"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left"/>
              <w:rPr>
                <w:rFonts w:ascii="宋体" w:hAnsi="宋体" w:cs="宋体"/>
                <w:color w:val="000000"/>
                <w:kern w:val="0"/>
              </w:rPr>
            </w:pPr>
            <w:r>
              <w:rPr>
                <w:rFonts w:hint="eastAsia" w:ascii="宋体" w:hAnsi="宋体" w:cs="宋体"/>
                <w:color w:val="000000"/>
                <w:kern w:val="0"/>
              </w:rPr>
              <w:t>工程编号：无</w:t>
            </w:r>
          </w:p>
        </w:tc>
      </w:tr>
      <w:tr>
        <w:tblPrEx>
          <w:tblLayout w:type="fixed"/>
          <w:tblCellMar>
            <w:top w:w="0" w:type="dxa"/>
            <w:left w:w="108" w:type="dxa"/>
            <w:bottom w:w="0" w:type="dxa"/>
            <w:right w:w="108" w:type="dxa"/>
          </w:tblCellMar>
        </w:tblPrEx>
        <w:trPr>
          <w:trHeight w:val="435" w:hRule="atLeast"/>
        </w:trPr>
        <w:tc>
          <w:tcPr>
            <w:tcW w:w="106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预算(元)</w:t>
            </w: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项次</w:t>
            </w:r>
          </w:p>
        </w:tc>
        <w:tc>
          <w:tcPr>
            <w:tcW w:w="43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投标公司名称</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投标报价</w:t>
            </w:r>
          </w:p>
        </w:tc>
        <w:tc>
          <w:tcPr>
            <w:tcW w:w="16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基准价</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标准值(A)</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000000"/>
                <w:kern w:val="0"/>
              </w:rPr>
            </w:pPr>
            <w:r>
              <w:rPr>
                <w:rFonts w:hint="eastAsia" w:ascii="宋体" w:hAnsi="宋体" w:cs="宋体"/>
                <w:color w:val="000000"/>
                <w:kern w:val="0"/>
              </w:rPr>
              <w:t>价格分</w:t>
            </w:r>
          </w:p>
        </w:tc>
      </w:tr>
      <w:tr>
        <w:tblPrEx>
          <w:tblLayout w:type="fixed"/>
          <w:tblCellMar>
            <w:top w:w="0" w:type="dxa"/>
            <w:left w:w="108" w:type="dxa"/>
            <w:bottom w:w="0" w:type="dxa"/>
            <w:right w:w="108" w:type="dxa"/>
          </w:tblCellMar>
        </w:tblPrEx>
        <w:trPr>
          <w:trHeight w:val="458"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1</w:t>
            </w:r>
          </w:p>
        </w:tc>
        <w:tc>
          <w:tcPr>
            <w:tcW w:w="43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4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2</w:t>
            </w:r>
          </w:p>
        </w:tc>
        <w:tc>
          <w:tcPr>
            <w:tcW w:w="43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518"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3</w:t>
            </w:r>
          </w:p>
        </w:tc>
        <w:tc>
          <w:tcPr>
            <w:tcW w:w="4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503"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4</w:t>
            </w:r>
          </w:p>
        </w:tc>
        <w:tc>
          <w:tcPr>
            <w:tcW w:w="4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4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color w:val="000000"/>
                <w:kern w:val="0"/>
              </w:rPr>
            </w:pPr>
          </w:p>
        </w:tc>
        <w:tc>
          <w:tcPr>
            <w:tcW w:w="7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5</w:t>
            </w:r>
          </w:p>
        </w:tc>
        <w:tc>
          <w:tcPr>
            <w:tcW w:w="4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宋体" w:hAnsi="宋体" w:cs="宋体"/>
                <w:kern w:val="0"/>
              </w:rPr>
            </w:pPr>
            <w:r>
              <w:rPr>
                <w:rFonts w:hint="eastAsia" w:ascii="宋体" w:hAnsi="宋体" w:cs="宋体"/>
                <w:kern w:val="0"/>
              </w:rPr>
              <w:t>　</w:t>
            </w:r>
          </w:p>
        </w:tc>
        <w:tc>
          <w:tcPr>
            <w:tcW w:w="18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160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Cs w:val="28"/>
              </w:rPr>
            </w:pPr>
          </w:p>
        </w:tc>
        <w:tc>
          <w:tcPr>
            <w:tcW w:w="13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Cs w:val="28"/>
              </w:rPr>
            </w:pPr>
            <w:r>
              <w:rPr>
                <w:rFonts w:hint="eastAsia" w:ascii="宋体" w:hAnsi="宋体" w:cs="宋体"/>
                <w:kern w:val="0"/>
                <w:szCs w:val="28"/>
              </w:rPr>
              <w:t>　</w:t>
            </w:r>
          </w:p>
        </w:tc>
        <w:tc>
          <w:tcPr>
            <w:tcW w:w="226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color w:val="000000"/>
                <w:kern w:val="0"/>
              </w:rPr>
            </w:pPr>
            <w:r>
              <w:rPr>
                <w:color w:val="000000"/>
                <w:kern w:val="0"/>
              </w:rPr>
              <w:t>　</w:t>
            </w:r>
          </w:p>
        </w:tc>
      </w:tr>
      <w:tr>
        <w:tblPrEx>
          <w:tblLayout w:type="fixed"/>
          <w:tblCellMar>
            <w:top w:w="0" w:type="dxa"/>
            <w:left w:w="108" w:type="dxa"/>
            <w:bottom w:w="0" w:type="dxa"/>
            <w:right w:w="108" w:type="dxa"/>
          </w:tblCellMar>
        </w:tblPrEx>
        <w:trPr>
          <w:trHeight w:val="312" w:hRule="atLeast"/>
        </w:trPr>
        <w:tc>
          <w:tcPr>
            <w:tcW w:w="13220"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rPr>
                <w:rFonts w:ascii="宋体" w:hAnsi="宋体" w:cs="宋体"/>
                <w:b/>
                <w:bCs/>
                <w:kern w:val="0"/>
                <w:szCs w:val="20"/>
              </w:rPr>
            </w:pPr>
            <w:r>
              <w:rPr>
                <w:rFonts w:hint="eastAsia" w:ascii="宋体" w:hAnsi="宋体" w:cs="宋体"/>
                <w:b/>
                <w:bCs/>
                <w:kern w:val="0"/>
                <w:szCs w:val="20"/>
              </w:rPr>
              <w:t>评分办法</w:t>
            </w:r>
            <w:r>
              <w:rPr>
                <w:rFonts w:hint="eastAsia" w:ascii="宋体" w:hAnsi="宋体" w:cs="宋体"/>
                <w:kern w:val="0"/>
                <w:szCs w:val="20"/>
              </w:rPr>
              <w:t>：</w:t>
            </w:r>
            <w:r>
              <w:rPr>
                <w:rFonts w:hint="eastAsia" w:ascii="宋体" w:hAnsi="宋体" w:cs="宋体"/>
                <w:kern w:val="0"/>
                <w:szCs w:val="20"/>
              </w:rPr>
              <w:br w:type="textWrapping"/>
            </w:r>
            <w:r>
              <w:rPr>
                <w:rFonts w:hint="eastAsia" w:ascii="宋体" w:hAnsi="宋体" w:cs="宋体"/>
                <w:b/>
                <w:kern w:val="0"/>
                <w:szCs w:val="32"/>
              </w:rPr>
              <w:t>■</w:t>
            </w:r>
            <w:r>
              <w:rPr>
                <w:rFonts w:hint="eastAsia" w:ascii="宋体" w:hAnsi="宋体" w:cs="宋体"/>
                <w:b/>
                <w:kern w:val="0"/>
                <w:szCs w:val="20"/>
              </w:rPr>
              <w:t xml:space="preserve">方法一：满足招标文件要求且投标报价最低价作为评标基准价，其价格分为满分。其他投标人的价格分=(评标基准价／投标报价)×60         </w:t>
            </w:r>
            <w:r>
              <w:rPr>
                <w:rFonts w:hint="eastAsia" w:ascii="宋体" w:hAnsi="宋体" w:cs="宋体"/>
                <w:b/>
                <w:kern w:val="0"/>
                <w:szCs w:val="20"/>
              </w:rPr>
              <w:br w:type="textWrapping"/>
            </w:r>
            <w:r>
              <w:rPr>
                <w:rFonts w:hint="eastAsia" w:ascii="宋体" w:hAnsi="宋体" w:cs="宋体"/>
                <w:b/>
                <w:kern w:val="0"/>
                <w:szCs w:val="32"/>
              </w:rPr>
              <w:t>□</w:t>
            </w:r>
            <w:r>
              <w:rPr>
                <w:rFonts w:hint="eastAsia" w:ascii="宋体" w:hAnsi="宋体" w:cs="宋体"/>
                <w:b/>
                <w:kern w:val="0"/>
                <w:szCs w:val="20"/>
              </w:rPr>
              <w:t>方法二：满足招标文件要求且投标报价最低价作为评标基准价，其他投标人的价格分：价格分标准值（A)=(评标基准价／投标报价)×100%</w:t>
            </w:r>
            <w:r>
              <w:rPr>
                <w:rFonts w:hint="eastAsia" w:ascii="宋体" w:hAnsi="宋体" w:cs="宋体"/>
                <w:b/>
                <w:kern w:val="0"/>
                <w:szCs w:val="20"/>
              </w:rPr>
              <w:br w:type="textWrapping"/>
            </w:r>
            <w:r>
              <w:rPr>
                <w:rFonts w:hint="eastAsia" w:ascii="宋体" w:hAnsi="宋体" w:cs="宋体"/>
                <w:b/>
                <w:kern w:val="0"/>
                <w:szCs w:val="32"/>
              </w:rPr>
              <w:t>□</w:t>
            </w:r>
            <w:r>
              <w:rPr>
                <w:rFonts w:hint="eastAsia" w:ascii="宋体" w:hAnsi="宋体" w:cs="宋体"/>
                <w:b/>
                <w:kern w:val="0"/>
                <w:szCs w:val="20"/>
              </w:rPr>
              <w:t>方法三：满足招标文件要求且投标报价平均价作为评标基准价，其他投标人的价格分：价格分标准值（A)=(评标基准价／投标报价)×100%</w:t>
            </w:r>
          </w:p>
        </w:tc>
      </w:tr>
      <w:tr>
        <w:tblPrEx>
          <w:tblLayout w:type="fixed"/>
          <w:tblCellMar>
            <w:top w:w="0" w:type="dxa"/>
            <w:left w:w="108" w:type="dxa"/>
            <w:bottom w:w="0" w:type="dxa"/>
            <w:right w:w="108" w:type="dxa"/>
          </w:tblCellMar>
        </w:tblPrEx>
        <w:trPr>
          <w:trHeight w:val="1102" w:hRule="atLeast"/>
        </w:trPr>
        <w:tc>
          <w:tcPr>
            <w:tcW w:w="13220"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b/>
                <w:bCs/>
                <w:kern w:val="0"/>
                <w:szCs w:val="20"/>
              </w:rPr>
            </w:pPr>
          </w:p>
        </w:tc>
      </w:tr>
      <w:tr>
        <w:tblPrEx>
          <w:tblLayout w:type="fixed"/>
          <w:tblCellMar>
            <w:top w:w="0" w:type="dxa"/>
            <w:left w:w="108" w:type="dxa"/>
            <w:bottom w:w="0" w:type="dxa"/>
            <w:right w:w="108" w:type="dxa"/>
          </w:tblCellMar>
        </w:tblPrEx>
        <w:trPr>
          <w:trHeight w:val="398" w:hRule="atLeast"/>
        </w:trPr>
        <w:tc>
          <w:tcPr>
            <w:tcW w:w="95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 xml:space="preserve">                价格分标准值 （A）   </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价格得分</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A ≤ 90%</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A≥110%</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48</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90% &lt; A ≤  96%</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104% ≤ A ＜ 110%</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52</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96% &lt; A ≤  98%</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102% ≤ A ＜ 104%</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56</w:t>
            </w:r>
          </w:p>
        </w:tc>
      </w:tr>
      <w:tr>
        <w:tblPrEx>
          <w:tblLayout w:type="fixed"/>
          <w:tblCellMar>
            <w:top w:w="0" w:type="dxa"/>
            <w:left w:w="108" w:type="dxa"/>
            <w:bottom w:w="0" w:type="dxa"/>
            <w:right w:w="108" w:type="dxa"/>
          </w:tblCellMar>
        </w:tblPrEx>
        <w:trPr>
          <w:trHeight w:val="398" w:hRule="atLeast"/>
        </w:trPr>
        <w:tc>
          <w:tcPr>
            <w:tcW w:w="61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 xml:space="preserve">98% &lt; A ＜ 102% </w:t>
            </w:r>
          </w:p>
        </w:tc>
        <w:tc>
          <w:tcPr>
            <w:tcW w:w="34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　</w:t>
            </w:r>
          </w:p>
        </w:tc>
        <w:tc>
          <w:tcPr>
            <w:tcW w:w="36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Cs w:val="20"/>
              </w:rPr>
            </w:pPr>
            <w:r>
              <w:rPr>
                <w:rFonts w:hint="eastAsia" w:ascii="宋体" w:hAnsi="宋体" w:cs="宋体"/>
                <w:b/>
                <w:bCs/>
                <w:kern w:val="0"/>
                <w:szCs w:val="20"/>
              </w:rPr>
              <w:t>60</w:t>
            </w:r>
          </w:p>
        </w:tc>
      </w:tr>
    </w:tbl>
    <w:p>
      <w:pPr>
        <w:spacing w:line="240" w:lineRule="auto"/>
        <w:ind w:firstLine="199" w:firstLineChars="95"/>
        <w:rPr>
          <w:rFonts w:cs="Arial"/>
          <w:szCs w:val="21"/>
        </w:rPr>
      </w:pPr>
    </w:p>
    <w:p>
      <w:pPr>
        <w:spacing w:line="240" w:lineRule="auto"/>
        <w:ind w:firstLine="199" w:firstLineChars="95"/>
        <w:rPr>
          <w:rFonts w:cs="Arial"/>
          <w:szCs w:val="21"/>
        </w:rPr>
      </w:pPr>
    </w:p>
    <w:p>
      <w:pPr>
        <w:spacing w:line="240" w:lineRule="auto"/>
        <w:ind w:firstLine="199" w:firstLineChars="95"/>
        <w:rPr>
          <w:rFonts w:ascii="Arial" w:hAnsi="Arial" w:cs="Arial"/>
          <w:b/>
          <w:szCs w:val="21"/>
        </w:rPr>
      </w:pPr>
      <w:r>
        <w:rPr>
          <w:rFonts w:cs="Arial"/>
          <w:szCs w:val="21"/>
        </w:rPr>
        <w:t xml:space="preserve">全体评委签名：  </w:t>
      </w:r>
    </w:p>
    <w:p>
      <w:pPr>
        <w:ind w:firstLine="0" w:firstLineChars="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883"/>
        <w:rPr>
          <w:rFonts w:ascii="Arial" w:hAnsi="Arial" w:cs="Arial"/>
          <w:b/>
          <w:sz w:val="44"/>
          <w:szCs w:val="44"/>
        </w:rPr>
      </w:pPr>
      <w:r>
        <w:rPr>
          <w:rFonts w:hint="eastAsia" w:ascii="Arial" w:hAnsi="Arial" w:cs="Arial"/>
          <w:b/>
          <w:sz w:val="44"/>
          <w:szCs w:val="44"/>
        </w:rPr>
        <w:t xml:space="preserve"> </w:t>
      </w:r>
      <w:r>
        <w:rPr>
          <w:rFonts w:ascii="Arial" w:hAnsi="Arial" w:cs="Arial"/>
          <w:b/>
          <w:sz w:val="44"/>
          <w:szCs w:val="44"/>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autoSpaceDE w:val="0"/>
        <w:autoSpaceDN w:val="0"/>
        <w:adjustRightInd w:val="0"/>
        <w:spacing w:line="240" w:lineRule="auto"/>
        <w:ind w:firstLine="0" w:firstLineChars="0"/>
        <w:jc w:val="left"/>
        <w:rPr>
          <w:rFonts w:cs="System" w:asciiTheme="minorEastAsia" w:hAnsiTheme="minorEastAsia" w:eastAsiaTheme="minorEastAsia"/>
          <w:kern w:val="0"/>
          <w:sz w:val="24"/>
        </w:rPr>
      </w:pPr>
    </w:p>
    <w:p>
      <w:pPr>
        <w:autoSpaceDE w:val="0"/>
        <w:autoSpaceDN w:val="0"/>
        <w:adjustRightInd w:val="0"/>
        <w:ind w:firstLine="0" w:firstLineChars="0"/>
        <w:jc w:val="left"/>
        <w:rPr>
          <w:rFonts w:cs="System" w:asciiTheme="minorEastAsia" w:hAnsiTheme="minorEastAsia" w:eastAsiaTheme="minorEastAsia"/>
          <w:kern w:val="0"/>
          <w:sz w:val="24"/>
        </w:rPr>
      </w:pPr>
      <w:r>
        <w:rPr>
          <w:rFonts w:cs="System" w:asciiTheme="minorEastAsia" w:hAnsiTheme="minorEastAsia" w:eastAsiaTheme="minorEastAsia"/>
          <w:kern w:val="0"/>
          <w:sz w:val="24"/>
        </w:rPr>
        <w:t>1</w:t>
      </w:r>
      <w:r>
        <w:rPr>
          <w:rFonts w:hint="eastAsia" w:cs="System" w:asciiTheme="minorEastAsia" w:hAnsiTheme="minorEastAsia" w:eastAsiaTheme="minorEastAsia"/>
          <w:kern w:val="0"/>
          <w:sz w:val="24"/>
        </w:rPr>
        <w:t>、新建急诊风除室，北侧与儿科风除室相邻；</w:t>
      </w:r>
    </w:p>
    <w:p>
      <w:pPr>
        <w:autoSpaceDE w:val="0"/>
        <w:autoSpaceDN w:val="0"/>
        <w:adjustRightInd w:val="0"/>
        <w:ind w:firstLine="0" w:firstLineChars="0"/>
        <w:jc w:val="left"/>
        <w:rPr>
          <w:rFonts w:cs="System" w:asciiTheme="minorEastAsia" w:hAnsiTheme="minorEastAsia" w:eastAsiaTheme="minorEastAsia"/>
          <w:kern w:val="0"/>
          <w:sz w:val="24"/>
        </w:rPr>
      </w:pPr>
      <w:r>
        <w:rPr>
          <w:rFonts w:cs="System" w:asciiTheme="minorEastAsia" w:hAnsiTheme="minorEastAsia" w:eastAsiaTheme="minorEastAsia"/>
          <w:kern w:val="0"/>
          <w:sz w:val="24"/>
        </w:rPr>
        <w:t>2</w:t>
      </w:r>
      <w:r>
        <w:rPr>
          <w:rFonts w:hint="eastAsia" w:cs="System" w:asciiTheme="minorEastAsia" w:hAnsiTheme="minorEastAsia" w:eastAsiaTheme="minorEastAsia"/>
          <w:kern w:val="0"/>
          <w:sz w:val="24"/>
        </w:rPr>
        <w:t>、新建风除室选材为</w:t>
      </w:r>
      <w:r>
        <w:rPr>
          <w:rFonts w:cs="System" w:asciiTheme="minorEastAsia" w:hAnsiTheme="minorEastAsia" w:eastAsiaTheme="minorEastAsia"/>
          <w:kern w:val="0"/>
          <w:sz w:val="24"/>
        </w:rPr>
        <w:t>；</w:t>
      </w:r>
      <w:r>
        <w:rPr>
          <w:rFonts w:hint="eastAsia" w:cs="System" w:asciiTheme="minorEastAsia" w:hAnsiTheme="minorEastAsia" w:eastAsiaTheme="minorEastAsia"/>
          <w:kern w:val="0"/>
          <w:sz w:val="24"/>
        </w:rPr>
        <w:t>骨架、边框材料为：轻钢龙骨；隔板材料为:定制乳白色60mmA级防火岩棉彩钢夹芯板；</w:t>
      </w:r>
    </w:p>
    <w:p>
      <w:pPr>
        <w:autoSpaceDE w:val="0"/>
        <w:autoSpaceDN w:val="0"/>
        <w:adjustRightInd w:val="0"/>
        <w:ind w:firstLine="0" w:firstLineChars="0"/>
        <w:jc w:val="left"/>
        <w:rPr>
          <w:rFonts w:cs="System" w:asciiTheme="minorEastAsia" w:hAnsiTheme="minorEastAsia" w:eastAsiaTheme="minorEastAsia"/>
          <w:kern w:val="0"/>
          <w:sz w:val="24"/>
        </w:rPr>
      </w:pPr>
      <w:r>
        <w:rPr>
          <w:rFonts w:cs="System" w:asciiTheme="minorEastAsia" w:hAnsiTheme="minorEastAsia" w:eastAsiaTheme="minorEastAsia"/>
          <w:kern w:val="0"/>
          <w:sz w:val="24"/>
        </w:rPr>
        <w:t>3</w:t>
      </w:r>
      <w:r>
        <w:rPr>
          <w:rFonts w:hint="eastAsia" w:cs="System" w:asciiTheme="minorEastAsia" w:hAnsiTheme="minorEastAsia" w:eastAsiaTheme="minorEastAsia"/>
          <w:kern w:val="0"/>
          <w:sz w:val="24"/>
        </w:rPr>
        <w:t>、新建急诊风除室在</w:t>
      </w:r>
      <w:r>
        <w:rPr>
          <w:rFonts w:cs="System" w:asciiTheme="minorEastAsia" w:hAnsiTheme="minorEastAsia" w:eastAsiaTheme="minorEastAsia"/>
          <w:kern w:val="0"/>
          <w:sz w:val="24"/>
        </w:rPr>
        <w:t>急诊门头至儿科风除室之</w:t>
      </w:r>
      <w:r>
        <w:rPr>
          <w:rFonts w:hint="eastAsia" w:cs="System" w:asciiTheme="minorEastAsia" w:hAnsiTheme="minorEastAsia" w:eastAsiaTheme="minorEastAsia"/>
          <w:kern w:val="0"/>
          <w:sz w:val="24"/>
        </w:rPr>
        <w:t>间</w:t>
      </w:r>
      <w:r>
        <w:rPr>
          <w:rFonts w:cs="System" w:asciiTheme="minorEastAsia" w:hAnsiTheme="minorEastAsia" w:eastAsiaTheme="minorEastAsia"/>
          <w:kern w:val="0"/>
          <w:sz w:val="24"/>
        </w:rPr>
        <w:t>空隙部分</w:t>
      </w:r>
      <w:r>
        <w:rPr>
          <w:rFonts w:hint="eastAsia" w:cs="System" w:asciiTheme="minorEastAsia" w:hAnsiTheme="minorEastAsia" w:eastAsiaTheme="minorEastAsia"/>
          <w:kern w:val="0"/>
          <w:sz w:val="24"/>
        </w:rPr>
        <w:t>吊顶吸顶，骨架、边框材料为：轻钢龙骨；隔板材料为:定制乳白色60mmA级防火岩棉彩钢夹芯板；</w:t>
      </w:r>
    </w:p>
    <w:p>
      <w:pPr>
        <w:autoSpaceDE w:val="0"/>
        <w:autoSpaceDN w:val="0"/>
        <w:adjustRightInd w:val="0"/>
        <w:ind w:firstLine="0" w:firstLineChars="0"/>
        <w:jc w:val="left"/>
        <w:rPr>
          <w:rFonts w:cs="System" w:asciiTheme="minorEastAsia" w:hAnsiTheme="minorEastAsia" w:eastAsiaTheme="minorEastAsia"/>
          <w:kern w:val="0"/>
          <w:sz w:val="24"/>
        </w:rPr>
      </w:pPr>
      <w:r>
        <w:rPr>
          <w:rFonts w:cs="System" w:asciiTheme="minorEastAsia" w:hAnsiTheme="minorEastAsia" w:eastAsiaTheme="minorEastAsia"/>
          <w:kern w:val="0"/>
          <w:sz w:val="24"/>
        </w:rPr>
        <w:t>4</w:t>
      </w:r>
      <w:r>
        <w:rPr>
          <w:rFonts w:hint="eastAsia" w:cs="System" w:asciiTheme="minorEastAsia" w:hAnsiTheme="minorEastAsia" w:eastAsiaTheme="minorEastAsia"/>
          <w:kern w:val="0"/>
          <w:sz w:val="24"/>
        </w:rPr>
        <w:t>、原</w:t>
      </w:r>
      <w:r>
        <w:rPr>
          <w:rFonts w:cs="System" w:asciiTheme="minorEastAsia" w:hAnsiTheme="minorEastAsia" w:eastAsiaTheme="minorEastAsia"/>
          <w:kern w:val="0"/>
          <w:sz w:val="24"/>
        </w:rPr>
        <w:t>BC2106a</w:t>
      </w:r>
      <w:r>
        <w:rPr>
          <w:rFonts w:hint="eastAsia" w:cs="System" w:asciiTheme="minorEastAsia" w:hAnsiTheme="minorEastAsia" w:eastAsiaTheme="minorEastAsia"/>
          <w:kern w:val="0"/>
          <w:sz w:val="24"/>
        </w:rPr>
        <w:t>门保留，门双侧采用板材封闭严密</w:t>
      </w:r>
      <w:r>
        <w:rPr>
          <w:rFonts w:cs="System" w:asciiTheme="minorEastAsia" w:hAnsiTheme="minorEastAsia" w:eastAsiaTheme="minorEastAsia"/>
          <w:kern w:val="0"/>
          <w:sz w:val="24"/>
        </w:rPr>
        <w:t>,</w:t>
      </w:r>
      <w:r>
        <w:rPr>
          <w:rFonts w:hint="eastAsia" w:cs="System" w:asciiTheme="minorEastAsia" w:hAnsiTheme="minorEastAsia" w:eastAsiaTheme="minorEastAsia"/>
          <w:kern w:val="0"/>
          <w:sz w:val="24"/>
        </w:rPr>
        <w:t>室内一侧涂料粉饰；</w:t>
      </w:r>
    </w:p>
    <w:p>
      <w:pPr>
        <w:autoSpaceDE w:val="0"/>
        <w:autoSpaceDN w:val="0"/>
        <w:adjustRightInd w:val="0"/>
        <w:ind w:firstLine="0" w:firstLineChars="0"/>
        <w:jc w:val="left"/>
        <w:rPr>
          <w:rFonts w:cs="System" w:asciiTheme="minorEastAsia" w:hAnsiTheme="minorEastAsia" w:eastAsiaTheme="minorEastAsia"/>
          <w:kern w:val="0"/>
          <w:sz w:val="24"/>
        </w:rPr>
      </w:pPr>
      <w:r>
        <w:rPr>
          <w:rFonts w:cs="System" w:asciiTheme="minorEastAsia" w:hAnsiTheme="minorEastAsia" w:eastAsiaTheme="minorEastAsia"/>
          <w:kern w:val="0"/>
          <w:sz w:val="24"/>
        </w:rPr>
        <w:t>5</w:t>
      </w:r>
      <w:r>
        <w:rPr>
          <w:rFonts w:hint="eastAsia" w:cs="System" w:asciiTheme="minorEastAsia" w:hAnsiTheme="minorEastAsia" w:eastAsiaTheme="minorEastAsia"/>
          <w:kern w:val="0"/>
          <w:sz w:val="24"/>
        </w:rPr>
        <w:t>、新增室内照明。</w:t>
      </w:r>
    </w:p>
    <w:p>
      <w:pPr>
        <w:autoSpaceDE w:val="0"/>
        <w:autoSpaceDN w:val="0"/>
        <w:adjustRightInd w:val="0"/>
        <w:ind w:firstLine="0" w:firstLineChars="0"/>
        <w:jc w:val="left"/>
        <w:rPr>
          <w:rFonts w:cs="System" w:asciiTheme="minorEastAsia" w:hAnsiTheme="minorEastAsia" w:eastAsiaTheme="minorEastAsia"/>
          <w:kern w:val="0"/>
          <w:sz w:val="24"/>
        </w:rPr>
      </w:pPr>
      <w:r>
        <w:rPr>
          <w:rFonts w:cs="System" w:asciiTheme="minorEastAsia" w:hAnsiTheme="minorEastAsia" w:eastAsiaTheme="minorEastAsia"/>
          <w:kern w:val="0"/>
          <w:sz w:val="24"/>
        </w:rPr>
        <w:t>6</w:t>
      </w:r>
      <w:r>
        <w:rPr>
          <w:rFonts w:hint="eastAsia" w:cs="System" w:asciiTheme="minorEastAsia" w:hAnsiTheme="minorEastAsia" w:eastAsiaTheme="minorEastAsia"/>
          <w:kern w:val="0"/>
          <w:sz w:val="24"/>
        </w:rPr>
        <w:t>、施工区域与另一处施工现场存在交叉，施工方案及措施费用等需地踏勘。施工期间应保证急诊、儿科正常运行，需安排人协助疏通急诊人员（尤其是急救床）通行，拆除等工作适当考虑夜间施工。</w:t>
      </w:r>
    </w:p>
    <w:p>
      <w:pPr>
        <w:autoSpaceDE w:val="0"/>
        <w:autoSpaceDN w:val="0"/>
        <w:adjustRightInd w:val="0"/>
        <w:ind w:firstLine="0" w:firstLineChars="0"/>
        <w:jc w:val="left"/>
        <w:rPr>
          <w:rFonts w:cs="System" w:asciiTheme="minorEastAsia" w:hAnsiTheme="minorEastAsia" w:eastAsiaTheme="minorEastAsia"/>
          <w:kern w:val="0"/>
          <w:sz w:val="24"/>
        </w:rPr>
      </w:pPr>
      <w:r>
        <w:rPr>
          <w:rFonts w:cs="System" w:asciiTheme="minorEastAsia" w:hAnsiTheme="minorEastAsia" w:eastAsiaTheme="minorEastAsia"/>
          <w:kern w:val="0"/>
          <w:sz w:val="24"/>
        </w:rPr>
        <w:t>7</w:t>
      </w:r>
      <w:r>
        <w:rPr>
          <w:rFonts w:hint="eastAsia" w:cs="System" w:asciiTheme="minorEastAsia" w:hAnsiTheme="minorEastAsia" w:eastAsiaTheme="minorEastAsia"/>
          <w:kern w:val="0"/>
          <w:sz w:val="24"/>
        </w:rPr>
        <w:t>、投标人应现场踏勘，充分了解现场施工条件与施工内容，在全面考虑工程量及施工要求的基础上进行报价。</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1" w:type="first"/>
      <w:footerReference r:id="rId24" w:type="first"/>
      <w:headerReference r:id="rId19" w:type="default"/>
      <w:footerReference r:id="rId22" w:type="default"/>
      <w:headerReference r:id="rId20" w:type="even"/>
      <w:footerReference r:id="rId23"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幼圆">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47</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2EA70852"/>
    <w:multiLevelType w:val="multilevel"/>
    <w:tmpl w:val="2EA708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A62A0F"/>
    <w:multiLevelType w:val="multilevel"/>
    <w:tmpl w:val="49A62A0F"/>
    <w:lvl w:ilvl="0" w:tentative="0">
      <w:start w:val="5"/>
      <w:numFmt w:val="ideographDigital"/>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6">
    <w:nsid w:val="71D65F47"/>
    <w:multiLevelType w:val="multilevel"/>
    <w:tmpl w:val="71D65F47"/>
    <w:lvl w:ilvl="0" w:tentative="0">
      <w:start w:val="1"/>
      <w:numFmt w:val="chineseCountingThousand"/>
      <w:pStyle w:val="2"/>
      <w:suff w:val="nothing"/>
      <w:lvlText w:val="第%1章 "/>
      <w:lvlJc w:val="left"/>
      <w:pPr>
        <w:ind w:left="4095" w:firstLine="0"/>
      </w:pPr>
      <w:rPr>
        <w:rFonts w:hint="eastAsia"/>
        <w:b/>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b w:val="0"/>
      </w:rPr>
    </w:lvl>
    <w:lvl w:ilvl="4" w:tentative="0">
      <w:start w:val="1"/>
      <w:numFmt w:val="decimal"/>
      <w:pStyle w:val="6"/>
      <w:suff w:val="nothing"/>
      <w:lvlText w:val="%4.%5. "/>
      <w:lvlJc w:val="left"/>
      <w:pPr>
        <w:ind w:left="0"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DA"/>
    <w:rsid w:val="00001F5F"/>
    <w:rsid w:val="00003C07"/>
    <w:rsid w:val="000048F2"/>
    <w:rsid w:val="00004D74"/>
    <w:rsid w:val="00005E5C"/>
    <w:rsid w:val="00006DE4"/>
    <w:rsid w:val="00007E75"/>
    <w:rsid w:val="00020E0A"/>
    <w:rsid w:val="00021C51"/>
    <w:rsid w:val="00022794"/>
    <w:rsid w:val="00022E57"/>
    <w:rsid w:val="00026588"/>
    <w:rsid w:val="00027641"/>
    <w:rsid w:val="00027916"/>
    <w:rsid w:val="00027D5A"/>
    <w:rsid w:val="00030AC0"/>
    <w:rsid w:val="00030D11"/>
    <w:rsid w:val="00031336"/>
    <w:rsid w:val="0003164A"/>
    <w:rsid w:val="0003256F"/>
    <w:rsid w:val="00033532"/>
    <w:rsid w:val="00033CF5"/>
    <w:rsid w:val="00034367"/>
    <w:rsid w:val="0003438A"/>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227F"/>
    <w:rsid w:val="00061466"/>
    <w:rsid w:val="000619A0"/>
    <w:rsid w:val="0006653C"/>
    <w:rsid w:val="00066F92"/>
    <w:rsid w:val="000678BF"/>
    <w:rsid w:val="00067E5E"/>
    <w:rsid w:val="00070401"/>
    <w:rsid w:val="0007302B"/>
    <w:rsid w:val="00073874"/>
    <w:rsid w:val="0007686F"/>
    <w:rsid w:val="000770F9"/>
    <w:rsid w:val="000802B5"/>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3B91"/>
    <w:rsid w:val="00150792"/>
    <w:rsid w:val="00151C23"/>
    <w:rsid w:val="00152747"/>
    <w:rsid w:val="00152C72"/>
    <w:rsid w:val="00153636"/>
    <w:rsid w:val="00153C33"/>
    <w:rsid w:val="00156BF7"/>
    <w:rsid w:val="00156DBF"/>
    <w:rsid w:val="001603CA"/>
    <w:rsid w:val="001624F3"/>
    <w:rsid w:val="00166FAF"/>
    <w:rsid w:val="0016760E"/>
    <w:rsid w:val="001677D8"/>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7AA4"/>
    <w:rsid w:val="0024056B"/>
    <w:rsid w:val="0024127F"/>
    <w:rsid w:val="00246A49"/>
    <w:rsid w:val="00250C12"/>
    <w:rsid w:val="0025140A"/>
    <w:rsid w:val="00251671"/>
    <w:rsid w:val="00253692"/>
    <w:rsid w:val="00254306"/>
    <w:rsid w:val="00256DF3"/>
    <w:rsid w:val="0025795A"/>
    <w:rsid w:val="00257FA6"/>
    <w:rsid w:val="00261758"/>
    <w:rsid w:val="0026343E"/>
    <w:rsid w:val="00263734"/>
    <w:rsid w:val="002667DD"/>
    <w:rsid w:val="00270DDF"/>
    <w:rsid w:val="00274B30"/>
    <w:rsid w:val="00276BFD"/>
    <w:rsid w:val="00280F39"/>
    <w:rsid w:val="00283884"/>
    <w:rsid w:val="0028466E"/>
    <w:rsid w:val="00284C4E"/>
    <w:rsid w:val="00285D7C"/>
    <w:rsid w:val="002871CA"/>
    <w:rsid w:val="002928BF"/>
    <w:rsid w:val="00292E4D"/>
    <w:rsid w:val="002948FF"/>
    <w:rsid w:val="00295C35"/>
    <w:rsid w:val="002A02C8"/>
    <w:rsid w:val="002A18F5"/>
    <w:rsid w:val="002A2052"/>
    <w:rsid w:val="002B0290"/>
    <w:rsid w:val="002B077E"/>
    <w:rsid w:val="002B1EA9"/>
    <w:rsid w:val="002B3BDF"/>
    <w:rsid w:val="002B3F33"/>
    <w:rsid w:val="002B4EF3"/>
    <w:rsid w:val="002B6167"/>
    <w:rsid w:val="002B61E7"/>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E5C12"/>
    <w:rsid w:val="002F1122"/>
    <w:rsid w:val="002F1616"/>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65D0"/>
    <w:rsid w:val="00357647"/>
    <w:rsid w:val="003577D9"/>
    <w:rsid w:val="003622A9"/>
    <w:rsid w:val="0036275B"/>
    <w:rsid w:val="0036367C"/>
    <w:rsid w:val="00365CC0"/>
    <w:rsid w:val="00375C54"/>
    <w:rsid w:val="00385DC1"/>
    <w:rsid w:val="003863C2"/>
    <w:rsid w:val="00386753"/>
    <w:rsid w:val="00395052"/>
    <w:rsid w:val="00396148"/>
    <w:rsid w:val="003962AA"/>
    <w:rsid w:val="003967A0"/>
    <w:rsid w:val="003969A3"/>
    <w:rsid w:val="00397108"/>
    <w:rsid w:val="003A3487"/>
    <w:rsid w:val="003B12A5"/>
    <w:rsid w:val="003B15F7"/>
    <w:rsid w:val="003B198F"/>
    <w:rsid w:val="003C1C9B"/>
    <w:rsid w:val="003C2177"/>
    <w:rsid w:val="003C2BD3"/>
    <w:rsid w:val="003C37AE"/>
    <w:rsid w:val="003C47C0"/>
    <w:rsid w:val="003C52F2"/>
    <w:rsid w:val="003C56DF"/>
    <w:rsid w:val="003D1F04"/>
    <w:rsid w:val="003D1F67"/>
    <w:rsid w:val="003D5F95"/>
    <w:rsid w:val="003D6D37"/>
    <w:rsid w:val="003E0500"/>
    <w:rsid w:val="003E063C"/>
    <w:rsid w:val="003E076F"/>
    <w:rsid w:val="003E11D5"/>
    <w:rsid w:val="003E13F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833"/>
    <w:rsid w:val="00415B82"/>
    <w:rsid w:val="00417399"/>
    <w:rsid w:val="00417CEF"/>
    <w:rsid w:val="004203F9"/>
    <w:rsid w:val="00421322"/>
    <w:rsid w:val="0042134B"/>
    <w:rsid w:val="004216F7"/>
    <w:rsid w:val="00421AC4"/>
    <w:rsid w:val="00422380"/>
    <w:rsid w:val="00423756"/>
    <w:rsid w:val="00424D79"/>
    <w:rsid w:val="00433B44"/>
    <w:rsid w:val="0043405A"/>
    <w:rsid w:val="00434BD8"/>
    <w:rsid w:val="00436396"/>
    <w:rsid w:val="004374FF"/>
    <w:rsid w:val="00442457"/>
    <w:rsid w:val="004437E1"/>
    <w:rsid w:val="0044627A"/>
    <w:rsid w:val="004469C2"/>
    <w:rsid w:val="00446E25"/>
    <w:rsid w:val="0044724F"/>
    <w:rsid w:val="00450AE3"/>
    <w:rsid w:val="00451104"/>
    <w:rsid w:val="00451C00"/>
    <w:rsid w:val="00453682"/>
    <w:rsid w:val="00453700"/>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97154"/>
    <w:rsid w:val="004A0D34"/>
    <w:rsid w:val="004A1045"/>
    <w:rsid w:val="004A1428"/>
    <w:rsid w:val="004A1DE0"/>
    <w:rsid w:val="004A2214"/>
    <w:rsid w:val="004A293C"/>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199E"/>
    <w:rsid w:val="004F2566"/>
    <w:rsid w:val="004F2717"/>
    <w:rsid w:val="004F4FF4"/>
    <w:rsid w:val="004F796F"/>
    <w:rsid w:val="005027F2"/>
    <w:rsid w:val="00505936"/>
    <w:rsid w:val="00507519"/>
    <w:rsid w:val="0051043D"/>
    <w:rsid w:val="005109FD"/>
    <w:rsid w:val="00511A2A"/>
    <w:rsid w:val="00512339"/>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337"/>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A57"/>
    <w:rsid w:val="00593E53"/>
    <w:rsid w:val="00594376"/>
    <w:rsid w:val="005947E1"/>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5F70CC"/>
    <w:rsid w:val="006022B2"/>
    <w:rsid w:val="006035C6"/>
    <w:rsid w:val="006043FB"/>
    <w:rsid w:val="0060743E"/>
    <w:rsid w:val="00610041"/>
    <w:rsid w:val="0061097C"/>
    <w:rsid w:val="006112F7"/>
    <w:rsid w:val="00614D21"/>
    <w:rsid w:val="00617CB8"/>
    <w:rsid w:val="006200ED"/>
    <w:rsid w:val="0062149D"/>
    <w:rsid w:val="00624726"/>
    <w:rsid w:val="0062677F"/>
    <w:rsid w:val="00627CF7"/>
    <w:rsid w:val="00627EF2"/>
    <w:rsid w:val="0063034A"/>
    <w:rsid w:val="00630ED5"/>
    <w:rsid w:val="00633B42"/>
    <w:rsid w:val="00635638"/>
    <w:rsid w:val="00641242"/>
    <w:rsid w:val="006446E7"/>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34F0"/>
    <w:rsid w:val="006B4E4E"/>
    <w:rsid w:val="006B564A"/>
    <w:rsid w:val="006B7B25"/>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4478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9F"/>
    <w:rsid w:val="007C0980"/>
    <w:rsid w:val="007C0B19"/>
    <w:rsid w:val="007C0F06"/>
    <w:rsid w:val="007C21F2"/>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6FBD"/>
    <w:rsid w:val="007F7F54"/>
    <w:rsid w:val="00802E9A"/>
    <w:rsid w:val="00804F5E"/>
    <w:rsid w:val="00810C77"/>
    <w:rsid w:val="008120F4"/>
    <w:rsid w:val="00813690"/>
    <w:rsid w:val="008153CF"/>
    <w:rsid w:val="00821837"/>
    <w:rsid w:val="008233CA"/>
    <w:rsid w:val="008304D0"/>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0188"/>
    <w:rsid w:val="008616C2"/>
    <w:rsid w:val="00862432"/>
    <w:rsid w:val="00862A0E"/>
    <w:rsid w:val="008655D9"/>
    <w:rsid w:val="008671FC"/>
    <w:rsid w:val="00870879"/>
    <w:rsid w:val="00874EBE"/>
    <w:rsid w:val="008809AA"/>
    <w:rsid w:val="0088241C"/>
    <w:rsid w:val="00883FF2"/>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30F"/>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F0665"/>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1C"/>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448B"/>
    <w:rsid w:val="009854D6"/>
    <w:rsid w:val="009866A1"/>
    <w:rsid w:val="00987822"/>
    <w:rsid w:val="00990415"/>
    <w:rsid w:val="00990757"/>
    <w:rsid w:val="00990A2A"/>
    <w:rsid w:val="009916A0"/>
    <w:rsid w:val="00991789"/>
    <w:rsid w:val="009930D4"/>
    <w:rsid w:val="009955D4"/>
    <w:rsid w:val="00995B37"/>
    <w:rsid w:val="00996851"/>
    <w:rsid w:val="009A01C6"/>
    <w:rsid w:val="009A09FC"/>
    <w:rsid w:val="009A2C4B"/>
    <w:rsid w:val="009A3F1C"/>
    <w:rsid w:val="009A7327"/>
    <w:rsid w:val="009A755A"/>
    <w:rsid w:val="009B17DF"/>
    <w:rsid w:val="009B2BDF"/>
    <w:rsid w:val="009B2EF4"/>
    <w:rsid w:val="009B4AD1"/>
    <w:rsid w:val="009B4E1D"/>
    <w:rsid w:val="009C6D4F"/>
    <w:rsid w:val="009C6DF7"/>
    <w:rsid w:val="009C7827"/>
    <w:rsid w:val="009D0713"/>
    <w:rsid w:val="009D24E4"/>
    <w:rsid w:val="009D392F"/>
    <w:rsid w:val="009D5B3F"/>
    <w:rsid w:val="009E3C81"/>
    <w:rsid w:val="009E4E0A"/>
    <w:rsid w:val="009E5C0D"/>
    <w:rsid w:val="009E717D"/>
    <w:rsid w:val="009F2FF8"/>
    <w:rsid w:val="009F321F"/>
    <w:rsid w:val="009F345B"/>
    <w:rsid w:val="009F53DB"/>
    <w:rsid w:val="009F659D"/>
    <w:rsid w:val="009F6FE9"/>
    <w:rsid w:val="009F7152"/>
    <w:rsid w:val="00A000D1"/>
    <w:rsid w:val="00A00362"/>
    <w:rsid w:val="00A00511"/>
    <w:rsid w:val="00A030CB"/>
    <w:rsid w:val="00A0426D"/>
    <w:rsid w:val="00A04A96"/>
    <w:rsid w:val="00A055A7"/>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2B1"/>
    <w:rsid w:val="00A4764E"/>
    <w:rsid w:val="00A519A6"/>
    <w:rsid w:val="00A54497"/>
    <w:rsid w:val="00A54598"/>
    <w:rsid w:val="00A55A17"/>
    <w:rsid w:val="00A573E1"/>
    <w:rsid w:val="00A64638"/>
    <w:rsid w:val="00A656B6"/>
    <w:rsid w:val="00A65ACC"/>
    <w:rsid w:val="00A65B5D"/>
    <w:rsid w:val="00A6772B"/>
    <w:rsid w:val="00A677D0"/>
    <w:rsid w:val="00A74E53"/>
    <w:rsid w:val="00A80C38"/>
    <w:rsid w:val="00A80C8B"/>
    <w:rsid w:val="00A80D82"/>
    <w:rsid w:val="00A825A7"/>
    <w:rsid w:val="00A844C0"/>
    <w:rsid w:val="00A84BCB"/>
    <w:rsid w:val="00A862AD"/>
    <w:rsid w:val="00A91126"/>
    <w:rsid w:val="00A92999"/>
    <w:rsid w:val="00A933B5"/>
    <w:rsid w:val="00A948D0"/>
    <w:rsid w:val="00A96790"/>
    <w:rsid w:val="00A968A4"/>
    <w:rsid w:val="00A974A8"/>
    <w:rsid w:val="00A97A5B"/>
    <w:rsid w:val="00A97B06"/>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D0B"/>
    <w:rsid w:val="00AC3F51"/>
    <w:rsid w:val="00AC4080"/>
    <w:rsid w:val="00AC4E04"/>
    <w:rsid w:val="00AD2231"/>
    <w:rsid w:val="00AD4C10"/>
    <w:rsid w:val="00AD6D02"/>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07873"/>
    <w:rsid w:val="00B12B78"/>
    <w:rsid w:val="00B12EA8"/>
    <w:rsid w:val="00B131E5"/>
    <w:rsid w:val="00B17C8A"/>
    <w:rsid w:val="00B17D6F"/>
    <w:rsid w:val="00B2020B"/>
    <w:rsid w:val="00B20369"/>
    <w:rsid w:val="00B20962"/>
    <w:rsid w:val="00B21671"/>
    <w:rsid w:val="00B23488"/>
    <w:rsid w:val="00B2382C"/>
    <w:rsid w:val="00B23DB8"/>
    <w:rsid w:val="00B26594"/>
    <w:rsid w:val="00B271E2"/>
    <w:rsid w:val="00B27A50"/>
    <w:rsid w:val="00B3195E"/>
    <w:rsid w:val="00B33587"/>
    <w:rsid w:val="00B33CBA"/>
    <w:rsid w:val="00B36C66"/>
    <w:rsid w:val="00B44D7F"/>
    <w:rsid w:val="00B463B7"/>
    <w:rsid w:val="00B46E7B"/>
    <w:rsid w:val="00B51AEE"/>
    <w:rsid w:val="00B51BCC"/>
    <w:rsid w:val="00B563A8"/>
    <w:rsid w:val="00B567AD"/>
    <w:rsid w:val="00B567CA"/>
    <w:rsid w:val="00B571D3"/>
    <w:rsid w:val="00B62079"/>
    <w:rsid w:val="00B63795"/>
    <w:rsid w:val="00B645C5"/>
    <w:rsid w:val="00B65941"/>
    <w:rsid w:val="00B65BD9"/>
    <w:rsid w:val="00B71036"/>
    <w:rsid w:val="00B74C8C"/>
    <w:rsid w:val="00B75D7D"/>
    <w:rsid w:val="00B76EFF"/>
    <w:rsid w:val="00B77C56"/>
    <w:rsid w:val="00B811A4"/>
    <w:rsid w:val="00B83EC2"/>
    <w:rsid w:val="00B86575"/>
    <w:rsid w:val="00B94EFD"/>
    <w:rsid w:val="00B95DD2"/>
    <w:rsid w:val="00B96769"/>
    <w:rsid w:val="00B9762D"/>
    <w:rsid w:val="00BA11D8"/>
    <w:rsid w:val="00BA4151"/>
    <w:rsid w:val="00BA7204"/>
    <w:rsid w:val="00BB1A69"/>
    <w:rsid w:val="00BB21AC"/>
    <w:rsid w:val="00BB53DC"/>
    <w:rsid w:val="00BB5812"/>
    <w:rsid w:val="00BC292F"/>
    <w:rsid w:val="00BC3890"/>
    <w:rsid w:val="00BC6389"/>
    <w:rsid w:val="00BC6C04"/>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0B9"/>
    <w:rsid w:val="00C216E6"/>
    <w:rsid w:val="00C23EF3"/>
    <w:rsid w:val="00C23F7D"/>
    <w:rsid w:val="00C24007"/>
    <w:rsid w:val="00C347A3"/>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1EF"/>
    <w:rsid w:val="00C71DC0"/>
    <w:rsid w:val="00C737C3"/>
    <w:rsid w:val="00C73C20"/>
    <w:rsid w:val="00C73C22"/>
    <w:rsid w:val="00C75119"/>
    <w:rsid w:val="00C762F9"/>
    <w:rsid w:val="00C80A64"/>
    <w:rsid w:val="00C80A7D"/>
    <w:rsid w:val="00C816E3"/>
    <w:rsid w:val="00C82B1B"/>
    <w:rsid w:val="00C879BF"/>
    <w:rsid w:val="00C87AAC"/>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0DF1"/>
    <w:rsid w:val="00CD1DB2"/>
    <w:rsid w:val="00CD6257"/>
    <w:rsid w:val="00CD7C2B"/>
    <w:rsid w:val="00CE1693"/>
    <w:rsid w:val="00CE42B0"/>
    <w:rsid w:val="00CE50B2"/>
    <w:rsid w:val="00CF0F18"/>
    <w:rsid w:val="00CF1CD4"/>
    <w:rsid w:val="00CF472C"/>
    <w:rsid w:val="00CF477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42DD"/>
    <w:rsid w:val="00D65BBD"/>
    <w:rsid w:val="00D660E5"/>
    <w:rsid w:val="00D663E3"/>
    <w:rsid w:val="00D6642C"/>
    <w:rsid w:val="00D66C75"/>
    <w:rsid w:val="00D7255A"/>
    <w:rsid w:val="00D74268"/>
    <w:rsid w:val="00D7463F"/>
    <w:rsid w:val="00D757F7"/>
    <w:rsid w:val="00D75B54"/>
    <w:rsid w:val="00D76568"/>
    <w:rsid w:val="00D84414"/>
    <w:rsid w:val="00D8660F"/>
    <w:rsid w:val="00D868BC"/>
    <w:rsid w:val="00D87080"/>
    <w:rsid w:val="00D87BB7"/>
    <w:rsid w:val="00D9003E"/>
    <w:rsid w:val="00D901A6"/>
    <w:rsid w:val="00D90C62"/>
    <w:rsid w:val="00D93F88"/>
    <w:rsid w:val="00DA0062"/>
    <w:rsid w:val="00DA3DDA"/>
    <w:rsid w:val="00DA58AA"/>
    <w:rsid w:val="00DB1434"/>
    <w:rsid w:val="00DB1BCB"/>
    <w:rsid w:val="00DB1CC9"/>
    <w:rsid w:val="00DB5BE6"/>
    <w:rsid w:val="00DB5BFE"/>
    <w:rsid w:val="00DB6057"/>
    <w:rsid w:val="00DC1CE0"/>
    <w:rsid w:val="00DC4D3E"/>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57BA4"/>
    <w:rsid w:val="00E614B9"/>
    <w:rsid w:val="00E6418A"/>
    <w:rsid w:val="00E6586F"/>
    <w:rsid w:val="00E664E3"/>
    <w:rsid w:val="00E66C67"/>
    <w:rsid w:val="00E70833"/>
    <w:rsid w:val="00E7108A"/>
    <w:rsid w:val="00E72CDC"/>
    <w:rsid w:val="00E72DCE"/>
    <w:rsid w:val="00E73327"/>
    <w:rsid w:val="00E75D01"/>
    <w:rsid w:val="00E7655C"/>
    <w:rsid w:val="00E776C9"/>
    <w:rsid w:val="00E80F5C"/>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97E47"/>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10DF"/>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5B0"/>
    <w:rsid w:val="00F23DF7"/>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3B8F"/>
    <w:rsid w:val="00F75217"/>
    <w:rsid w:val="00F77405"/>
    <w:rsid w:val="00F80718"/>
    <w:rsid w:val="00F80C64"/>
    <w:rsid w:val="00F80DA4"/>
    <w:rsid w:val="00F8161E"/>
    <w:rsid w:val="00F82AD2"/>
    <w:rsid w:val="00F85BE4"/>
    <w:rsid w:val="00F913D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4625"/>
    <w:rsid w:val="00FC66BE"/>
    <w:rsid w:val="00FD055D"/>
    <w:rsid w:val="00FD0B26"/>
    <w:rsid w:val="00FD11E7"/>
    <w:rsid w:val="00FD26CC"/>
    <w:rsid w:val="00FD2ABB"/>
    <w:rsid w:val="00FD3FE1"/>
    <w:rsid w:val="00FD4C60"/>
    <w:rsid w:val="00FD6EEF"/>
    <w:rsid w:val="00FE156B"/>
    <w:rsid w:val="00FE27CC"/>
    <w:rsid w:val="00FE3582"/>
    <w:rsid w:val="00FE5CC3"/>
    <w:rsid w:val="00FE671B"/>
    <w:rsid w:val="00FF3A5C"/>
    <w:rsid w:val="00FF490A"/>
    <w:rsid w:val="00FF68C6"/>
    <w:rsid w:val="00FF7F33"/>
    <w:rsid w:val="1337550A"/>
    <w:rsid w:val="25C23D25"/>
    <w:rsid w:val="594E2D80"/>
    <w:rsid w:val="718E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semiHidden="0" w:name="Normal Indent"/>
    <w:lsdException w:unhideWhenUsed="0" w:uiPriority="0" w:name="footnote text"/>
    <w:lsdException w:unhideWhenUsed="0" w:uiPriority="0" w:name="annotation text"/>
    <w:lsdException w:qFormat="1"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semiHidden="0" w:name="Body Text"/>
    <w:lsdException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outlineLvl w:val="3"/>
    </w:pPr>
    <w:rPr>
      <w:rFonts w:ascii="宋体" w:hAnsi="宋体" w:eastAsia="宋体" w:cs="Times New Roman"/>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uiPriority w:val="1"/>
  </w:style>
  <w:style w:type="table" w:default="1" w:styleId="35">
    <w:name w:val="Normal Table"/>
    <w:semiHidden/>
    <w:unhideWhenUsed/>
    <w:uiPriority w:val="99"/>
    <w:tblPr>
      <w:tblLayout w:type="fixed"/>
      <w:tblCellMar>
        <w:top w:w="0" w:type="dxa"/>
        <w:left w:w="108" w:type="dxa"/>
        <w:bottom w:w="0" w:type="dxa"/>
        <w:right w:w="108" w:type="dxa"/>
      </w:tblCellMar>
    </w:tblPr>
  </w:style>
  <w:style w:type="paragraph" w:styleId="11">
    <w:name w:val="Normal Indent"/>
    <w:basedOn w:val="1"/>
    <w:unhideWhenUsed/>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uiPriority w:val="39"/>
    <w:pPr>
      <w:ind w:left="840" w:leftChars="400"/>
    </w:pPr>
  </w:style>
  <w:style w:type="paragraph" w:styleId="19">
    <w:name w:val="Plain Text"/>
    <w:basedOn w:val="1"/>
    <w:link w:val="69"/>
    <w:uiPriority w:val="0"/>
    <w:rPr>
      <w:rFonts w:ascii="宋体" w:hAnsi="Courier New"/>
      <w:szCs w:val="21"/>
    </w:rPr>
  </w:style>
  <w:style w:type="paragraph" w:styleId="20">
    <w:name w:val="Date"/>
    <w:basedOn w:val="1"/>
    <w:next w:val="1"/>
    <w:link w:val="68"/>
    <w:uiPriority w:val="0"/>
    <w:pPr>
      <w:ind w:left="100" w:leftChars="2500"/>
    </w:pPr>
  </w:style>
  <w:style w:type="paragraph" w:styleId="21">
    <w:name w:val="Body Text Indent 2"/>
    <w:basedOn w:val="1"/>
    <w:link w:val="80"/>
    <w:unhideWhenUsed/>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uiPriority w:val="0"/>
    <w:rPr>
      <w:sz w:val="18"/>
      <w:szCs w:val="18"/>
    </w:rPr>
  </w:style>
  <w:style w:type="paragraph" w:styleId="23">
    <w:name w:val="footer"/>
    <w:basedOn w:val="1"/>
    <w:link w:val="65"/>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uiPriority w:val="0"/>
    <w:pPr>
      <w:snapToGrid w:val="0"/>
      <w:jc w:val="left"/>
    </w:pPr>
    <w:rPr>
      <w:sz w:val="18"/>
      <w:szCs w:val="18"/>
    </w:rPr>
  </w:style>
  <w:style w:type="paragraph" w:styleId="28">
    <w:name w:val="Body Text Indent 3"/>
    <w:basedOn w:val="1"/>
    <w:link w:val="81"/>
    <w:unhideWhenUsed/>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uiPriority w:val="39"/>
    <w:pPr>
      <w:ind w:left="420" w:leftChars="200"/>
    </w:pPr>
  </w:style>
  <w:style w:type="paragraph" w:styleId="30">
    <w:name w:val="Body Text 2"/>
    <w:basedOn w:val="1"/>
    <w:link w:val="78"/>
    <w:unhideWhenUsed/>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page number"/>
    <w:basedOn w:val="37"/>
    <w:uiPriority w:val="0"/>
  </w:style>
  <w:style w:type="character" w:styleId="39">
    <w:name w:val="FollowedHyperlink"/>
    <w:unhideWhenUsed/>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uiPriority w:val="0"/>
    <w:rPr>
      <w:sz w:val="21"/>
      <w:szCs w:val="21"/>
    </w:rPr>
  </w:style>
  <w:style w:type="character" w:styleId="43">
    <w:name w:val="footnote reference"/>
    <w:semiHidden/>
    <w:uiPriority w:val="0"/>
    <w:rPr>
      <w:vertAlign w:val="superscript"/>
    </w:rPr>
  </w:style>
  <w:style w:type="character" w:customStyle="1" w:styleId="44">
    <w:name w:val="标题 1 字符"/>
    <w:link w:val="2"/>
    <w:qFormat/>
    <w:uiPriority w:val="0"/>
    <w:rPr>
      <w:b/>
      <w:bCs/>
      <w:snapToGrid w:val="0"/>
      <w:sz w:val="32"/>
      <w:szCs w:val="32"/>
    </w:rPr>
  </w:style>
  <w:style w:type="character" w:customStyle="1" w:styleId="45">
    <w:name w:val="标题 9 字符"/>
    <w:link w:val="10"/>
    <w:uiPriority w:val="0"/>
    <w:rPr>
      <w:rFonts w:ascii="Arial" w:hAnsi="Arial"/>
      <w:snapToGrid w:val="0"/>
      <w:sz w:val="24"/>
      <w:szCs w:val="24"/>
    </w:rPr>
  </w:style>
  <w:style w:type="character" w:customStyle="1" w:styleId="46">
    <w:name w:val="标题 8 字符"/>
    <w:link w:val="9"/>
    <w:uiPriority w:val="0"/>
    <w:rPr>
      <w:rFonts w:ascii="Arial" w:hAnsi="Arial"/>
      <w:snapToGrid w:val="0"/>
      <w:sz w:val="24"/>
      <w:szCs w:val="24"/>
    </w:rPr>
  </w:style>
  <w:style w:type="character" w:customStyle="1" w:styleId="47">
    <w:name w:val="标题 7 字符"/>
    <w:link w:val="8"/>
    <w:uiPriority w:val="0"/>
    <w:rPr>
      <w:kern w:val="2"/>
      <w:sz w:val="21"/>
      <w:szCs w:val="24"/>
    </w:rPr>
  </w:style>
  <w:style w:type="character" w:customStyle="1" w:styleId="48">
    <w:name w:val="标题 6 字符"/>
    <w:link w:val="7"/>
    <w:uiPriority w:val="0"/>
    <w:rPr>
      <w:rFonts w:ascii="宋体" w:hAnsi="宋体"/>
      <w:kern w:val="2"/>
      <w:sz w:val="21"/>
      <w:szCs w:val="24"/>
      <w:lang w:bidi="ar-SA"/>
    </w:rPr>
  </w:style>
  <w:style w:type="character" w:customStyle="1" w:styleId="49">
    <w:name w:val="标题 5 字符"/>
    <w:link w:val="6"/>
    <w:qFormat/>
    <w:uiPriority w:val="0"/>
    <w:rPr>
      <w:rFonts w:ascii="宋体" w:hAnsi="宋体"/>
      <w:bCs/>
      <w:snapToGrid w:val="0"/>
      <w:sz w:val="21"/>
      <w:szCs w:val="21"/>
    </w:rPr>
  </w:style>
  <w:style w:type="character" w:customStyle="1" w:styleId="50">
    <w:name w:val="标题 4 字符"/>
    <w:link w:val="5"/>
    <w:qFormat/>
    <w:uiPriority w:val="0"/>
    <w:rPr>
      <w:rFonts w:ascii="宋体" w:hAnsi="宋体"/>
      <w:bCs/>
      <w:snapToGrid w:val="0"/>
      <w:sz w:val="21"/>
      <w:szCs w:val="21"/>
    </w:rPr>
  </w:style>
  <w:style w:type="character" w:customStyle="1" w:styleId="51">
    <w:name w:val="标题 3 字符"/>
    <w:link w:val="4"/>
    <w:qFormat/>
    <w:uiPriority w:val="0"/>
    <w:rPr>
      <w:rFonts w:ascii="宋体" w:hAnsi="宋体"/>
      <w:b/>
      <w:bCs/>
      <w:snapToGrid w:val="0"/>
      <w:sz w:val="24"/>
      <w:szCs w:val="21"/>
    </w:rPr>
  </w:style>
  <w:style w:type="character" w:customStyle="1" w:styleId="52">
    <w:name w:val="标题 2 字符"/>
    <w:link w:val="3"/>
    <w:uiPriority w:val="0"/>
    <w:rPr>
      <w:rFonts w:ascii="Arial" w:hAnsi="Arial"/>
      <w:b/>
      <w:bCs/>
      <w:kern w:val="2"/>
      <w:sz w:val="28"/>
      <w:szCs w:val="24"/>
    </w:rPr>
  </w:style>
  <w:style w:type="paragraph" w:customStyle="1" w:styleId="53">
    <w:name w:val="王越的标题"/>
    <w:basedOn w:val="1"/>
    <w:uiPriority w:val="0"/>
    <w:pPr>
      <w:jc w:val="center"/>
    </w:pPr>
    <w:rPr>
      <w:rFonts w:ascii="宋体" w:hAnsi="宋体"/>
      <w:b/>
      <w:sz w:val="32"/>
    </w:rPr>
  </w:style>
  <w:style w:type="paragraph" w:customStyle="1" w:styleId="54">
    <w:name w:val="王越的正文"/>
    <w:basedOn w:val="1"/>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uiPriority w:val="0"/>
    <w:pPr>
      <w:spacing w:line="360" w:lineRule="auto"/>
      <w:ind w:firstLine="200" w:firstLineChars="200"/>
      <w:jc w:val="left"/>
    </w:pPr>
  </w:style>
  <w:style w:type="paragraph" w:customStyle="1" w:styleId="57">
    <w:name w:val="史记文"/>
    <w:basedOn w:val="1"/>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uiPriority w:val="0"/>
    <w:pPr>
      <w:ind w:firstLine="482"/>
    </w:pPr>
    <w:rPr>
      <w:b/>
    </w:rPr>
  </w:style>
  <w:style w:type="character" w:customStyle="1" w:styleId="60">
    <w:name w:val="标题 字符"/>
    <w:link w:val="33"/>
    <w:uiPriority w:val="0"/>
    <w:rPr>
      <w:rFonts w:ascii="Arial" w:hAnsi="Arial" w:cs="Arial"/>
      <w:b/>
      <w:bCs/>
      <w:kern w:val="2"/>
      <w:sz w:val="32"/>
      <w:szCs w:val="32"/>
    </w:rPr>
  </w:style>
  <w:style w:type="paragraph" w:customStyle="1" w:styleId="61">
    <w:name w:val="史记册"/>
    <w:basedOn w:val="33"/>
    <w:next w:val="56"/>
    <w:uiPriority w:val="0"/>
    <w:pPr>
      <w:spacing w:before="0" w:after="0"/>
      <w:jc w:val="left"/>
    </w:pPr>
    <w:rPr>
      <w:sz w:val="44"/>
      <w:szCs w:val="44"/>
    </w:rPr>
  </w:style>
  <w:style w:type="paragraph" w:customStyle="1" w:styleId="62">
    <w:name w:val="史记脚注文"/>
    <w:basedOn w:val="27"/>
    <w:uiPriority w:val="0"/>
    <w:pPr>
      <w:ind w:left="100" w:hanging="100" w:hangingChars="100"/>
    </w:pPr>
    <w:rPr>
      <w:sz w:val="15"/>
    </w:rPr>
  </w:style>
  <w:style w:type="character" w:customStyle="1" w:styleId="63">
    <w:name w:val="王越的标题 Char"/>
    <w:uiPriority w:val="0"/>
    <w:rPr>
      <w:rFonts w:ascii="宋体" w:hAnsi="宋体" w:eastAsia="宋体"/>
      <w:b/>
      <w:kern w:val="2"/>
      <w:sz w:val="32"/>
      <w:szCs w:val="24"/>
      <w:lang w:val="en-US" w:eastAsia="zh-CN" w:bidi="ar-SA"/>
    </w:rPr>
  </w:style>
  <w:style w:type="character" w:customStyle="1" w:styleId="64">
    <w:name w:val="页眉 字符"/>
    <w:link w:val="24"/>
    <w:uiPriority w:val="0"/>
    <w:rPr>
      <w:kern w:val="2"/>
      <w:sz w:val="18"/>
      <w:szCs w:val="18"/>
    </w:rPr>
  </w:style>
  <w:style w:type="character" w:customStyle="1" w:styleId="65">
    <w:name w:val="页脚 字符"/>
    <w:link w:val="23"/>
    <w:uiPriority w:val="0"/>
    <w:rPr>
      <w:kern w:val="2"/>
      <w:sz w:val="18"/>
      <w:szCs w:val="18"/>
    </w:rPr>
  </w:style>
  <w:style w:type="character" w:customStyle="1" w:styleId="66">
    <w:name w:val="王越的正文 Char"/>
    <w:uiPriority w:val="0"/>
    <w:rPr>
      <w:rFonts w:ascii="宋体" w:hAnsi="宋体" w:eastAsia="宋体"/>
      <w:kern w:val="2"/>
      <w:sz w:val="21"/>
      <w:szCs w:val="24"/>
      <w:lang w:val="en-US" w:eastAsia="zh-CN" w:bidi="ar-SA"/>
    </w:rPr>
  </w:style>
  <w:style w:type="character" w:customStyle="1" w:styleId="67">
    <w:name w:val="王越的副标 Char"/>
    <w:uiPriority w:val="0"/>
    <w:rPr>
      <w:rFonts w:ascii="宋体" w:hAnsi="宋体" w:eastAsia="宋体"/>
      <w:b/>
      <w:kern w:val="2"/>
      <w:sz w:val="21"/>
      <w:szCs w:val="24"/>
      <w:lang w:val="en-US" w:eastAsia="zh-CN" w:bidi="ar-SA"/>
    </w:rPr>
  </w:style>
  <w:style w:type="character" w:customStyle="1" w:styleId="68">
    <w:name w:val="日期 字符"/>
    <w:link w:val="20"/>
    <w:uiPriority w:val="0"/>
    <w:rPr>
      <w:kern w:val="2"/>
      <w:sz w:val="21"/>
      <w:szCs w:val="24"/>
    </w:rPr>
  </w:style>
  <w:style w:type="character" w:customStyle="1" w:styleId="69">
    <w:name w:val="纯文本 字符"/>
    <w:link w:val="19"/>
    <w:uiPriority w:val="0"/>
    <w:rPr>
      <w:rFonts w:ascii="宋体" w:hAnsi="Courier New" w:cs="Courier New"/>
      <w:kern w:val="2"/>
      <w:sz w:val="21"/>
      <w:szCs w:val="21"/>
    </w:rPr>
  </w:style>
  <w:style w:type="character" w:customStyle="1" w:styleId="70">
    <w:name w:val="批注文字 字符"/>
    <w:link w:val="14"/>
    <w:semiHidden/>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字符"/>
    <w:link w:val="22"/>
    <w:semiHidden/>
    <w:uiPriority w:val="0"/>
    <w:rPr>
      <w:kern w:val="2"/>
      <w:sz w:val="18"/>
      <w:szCs w:val="18"/>
    </w:rPr>
  </w:style>
  <w:style w:type="character" w:customStyle="1" w:styleId="73">
    <w:name w:val="批注主题 字符"/>
    <w:basedOn w:val="70"/>
    <w:link w:val="34"/>
    <w:qFormat/>
    <w:uiPriority w:val="0"/>
    <w:rPr>
      <w:sz w:val="24"/>
    </w:rPr>
  </w:style>
  <w:style w:type="character" w:customStyle="1" w:styleId="74">
    <w:name w:val="HTML 预设格式 字符"/>
    <w:link w:val="31"/>
    <w:uiPriority w:val="0"/>
    <w:rPr>
      <w:rFonts w:ascii="Arial" w:hAnsi="Arial" w:cs="Arial"/>
      <w:sz w:val="24"/>
      <w:szCs w:val="24"/>
    </w:rPr>
  </w:style>
  <w:style w:type="character" w:customStyle="1" w:styleId="75">
    <w:name w:val="正文文本 字符"/>
    <w:link w:val="16"/>
    <w:uiPriority w:val="0"/>
    <w:rPr>
      <w:rFonts w:ascii="宋体" w:hAnsi="宋体"/>
      <w:sz w:val="24"/>
      <w:szCs w:val="24"/>
      <w:lang w:eastAsia="en-US" w:bidi="en-US"/>
    </w:rPr>
  </w:style>
  <w:style w:type="character" w:customStyle="1" w:styleId="76">
    <w:name w:val="正文文本缩进 字符"/>
    <w:link w:val="17"/>
    <w:uiPriority w:val="0"/>
    <w:rPr>
      <w:rFonts w:ascii="宋体" w:hAnsi="宋体"/>
      <w:color w:val="000000"/>
      <w:kern w:val="2"/>
      <w:sz w:val="28"/>
    </w:rPr>
  </w:style>
  <w:style w:type="character" w:customStyle="1" w:styleId="77">
    <w:name w:val="副标题 字符"/>
    <w:link w:val="26"/>
    <w:uiPriority w:val="11"/>
    <w:rPr>
      <w:rFonts w:ascii="Cambria" w:hAnsi="Cambria"/>
      <w:sz w:val="24"/>
      <w:szCs w:val="24"/>
    </w:rPr>
  </w:style>
  <w:style w:type="character" w:customStyle="1" w:styleId="78">
    <w:name w:val="正文文本 2 字符"/>
    <w:link w:val="30"/>
    <w:uiPriority w:val="0"/>
    <w:rPr>
      <w:rFonts w:ascii="幼圆" w:hAnsi="Calibri" w:eastAsia="幼圆"/>
      <w:sz w:val="24"/>
      <w:szCs w:val="24"/>
    </w:rPr>
  </w:style>
  <w:style w:type="character" w:customStyle="1" w:styleId="79">
    <w:name w:val="正文文本 3 字符"/>
    <w:link w:val="15"/>
    <w:uiPriority w:val="0"/>
    <w:rPr>
      <w:rFonts w:ascii="Arial" w:hAnsi="Arial" w:cs="Arial"/>
      <w:color w:val="FF0000"/>
      <w:kern w:val="2"/>
      <w:sz w:val="24"/>
      <w:szCs w:val="24"/>
    </w:rPr>
  </w:style>
  <w:style w:type="character" w:customStyle="1" w:styleId="80">
    <w:name w:val="正文文本缩进 2 字符"/>
    <w:link w:val="21"/>
    <w:uiPriority w:val="0"/>
    <w:rPr>
      <w:rFonts w:ascii="Arial" w:hAnsi="Arial" w:cs="Arial"/>
      <w:kern w:val="2"/>
      <w:sz w:val="24"/>
      <w:szCs w:val="24"/>
    </w:rPr>
  </w:style>
  <w:style w:type="character" w:customStyle="1" w:styleId="81">
    <w:name w:val="正文文本缩进 3 字符"/>
    <w:link w:val="28"/>
    <w:qFormat/>
    <w:uiPriority w:val="0"/>
    <w:rPr>
      <w:rFonts w:ascii="Calibri" w:hAnsi="Calibri"/>
      <w:kern w:val="2"/>
      <w:sz w:val="28"/>
    </w:rPr>
  </w:style>
  <w:style w:type="character" w:customStyle="1" w:styleId="82">
    <w:name w:val="文档结构图 字符"/>
    <w:link w:val="13"/>
    <w:uiPriority w:val="0"/>
    <w:rPr>
      <w:rFonts w:ascii="宋体" w:hAnsi="Calibri"/>
      <w:sz w:val="24"/>
      <w:szCs w:val="24"/>
      <w:shd w:val="clear" w:color="auto" w:fill="000080"/>
    </w:rPr>
  </w:style>
  <w:style w:type="character" w:customStyle="1" w:styleId="83">
    <w:name w:val="无间隔 字符"/>
    <w:link w:val="84"/>
    <w:locked/>
    <w:uiPriority w:val="1"/>
    <w:rPr>
      <w:sz w:val="24"/>
      <w:szCs w:val="32"/>
    </w:rPr>
  </w:style>
  <w:style w:type="paragraph" w:styleId="84">
    <w:name w:val="No Spacing"/>
    <w:basedOn w:val="1"/>
    <w:link w:val="83"/>
    <w:qFormat/>
    <w:uiPriority w:val="1"/>
    <w:pPr>
      <w:widowControl/>
      <w:spacing w:line="240" w:lineRule="auto"/>
      <w:ind w:firstLine="0" w:firstLineChars="0"/>
      <w:jc w:val="left"/>
    </w:pPr>
    <w:rPr>
      <w:kern w:val="0"/>
      <w:sz w:val="24"/>
      <w:szCs w:val="32"/>
    </w:rPr>
  </w:style>
  <w:style w:type="paragraph"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字符"/>
    <w:link w:val="86"/>
    <w:qFormat/>
    <w:uiPriority w:val="29"/>
    <w:rPr>
      <w:rFonts w:ascii="Calibri" w:hAnsi="Calibri"/>
      <w:i/>
      <w:sz w:val="24"/>
      <w:szCs w:val="24"/>
    </w:rPr>
  </w:style>
  <w:style w:type="paragraph"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字符"/>
    <w:link w:val="88"/>
    <w:uiPriority w:val="30"/>
    <w:rPr>
      <w:rFonts w:ascii="Calibri" w:hAnsi="Calibri"/>
      <w:b/>
      <w:i/>
      <w:sz w:val="24"/>
    </w:rPr>
  </w:style>
  <w:style w:type="paragraph" w:customStyle="1" w:styleId="90">
    <w:name w:val="Char Char Char Char"/>
    <w:basedOn w:val="1"/>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locked/>
    <w:uiPriority w:val="0"/>
    <w:rPr>
      <w:rFonts w:ascii="Calibri" w:hAnsi="Calibri"/>
      <w:sz w:val="24"/>
      <w:szCs w:val="24"/>
      <w:lang w:eastAsia="en-US" w:bidi="en-US"/>
    </w:rPr>
  </w:style>
  <w:style w:type="character" w:customStyle="1" w:styleId="107">
    <w:name w:val="标题 Char1"/>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uiPriority w:val="29"/>
    <w:rPr>
      <w:i/>
      <w:iCs/>
      <w:color w:val="404040"/>
      <w:sz w:val="24"/>
      <w:szCs w:val="24"/>
      <w:lang w:eastAsia="en-US" w:bidi="en-US"/>
    </w:rPr>
  </w:style>
  <w:style w:type="character" w:customStyle="1" w:styleId="110">
    <w:name w:val="明显引用 Char1"/>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631C4-D1C0-43E0-B33A-EBD30632E9D8}">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3537</Words>
  <Characters>20166</Characters>
  <Lines>168</Lines>
  <Paragraphs>47</Paragraphs>
  <TotalTime>0</TotalTime>
  <ScaleCrop>false</ScaleCrop>
  <LinksUpToDate>false</LinksUpToDate>
  <CharactersWithSpaces>23656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2020-09-29T08:43:00Z</dcterms:created>
  <dc:creator>中招</dc:creator>
  <cp:lastModifiedBy>武盼</cp:lastModifiedBy>
  <cp:lastPrinted>2019-06-21T00:49:00Z</cp:lastPrinted>
  <dcterms:modified xsi:type="dcterms:W3CDTF">2020-09-30T09:01:13Z</dcterms:modified>
  <dc:title>工程编号：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