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56"/>
          <w:szCs w:val="36"/>
        </w:rPr>
      </w:pPr>
      <w:r>
        <w:rPr>
          <w:rFonts w:hint="eastAsia" w:ascii="宋体" w:hAnsi="宋体"/>
          <w:b/>
          <w:sz w:val="56"/>
          <w:szCs w:val="36"/>
        </w:rPr>
        <w:t>北京清华长庚医院</w:t>
      </w:r>
    </w:p>
    <w:p>
      <w:pPr>
        <w:ind w:firstLine="0" w:firstLineChars="0"/>
        <w:jc w:val="center"/>
        <w:rPr>
          <w:rFonts w:ascii="宋体" w:hAnsi="宋体"/>
          <w:b/>
          <w:sz w:val="56"/>
          <w:szCs w:val="36"/>
        </w:rPr>
      </w:pPr>
    </w:p>
    <w:p>
      <w:pPr>
        <w:ind w:firstLine="0" w:firstLineChars="0"/>
        <w:jc w:val="center"/>
        <w:rPr>
          <w:rFonts w:ascii="宋体" w:hAnsi="宋体"/>
          <w:b/>
          <w:sz w:val="56"/>
          <w:szCs w:val="36"/>
        </w:rPr>
      </w:pPr>
      <w:r>
        <w:rPr>
          <w:rFonts w:hint="eastAsia" w:ascii="宋体" w:hAnsi="宋体"/>
          <w:b/>
          <w:sz w:val="56"/>
          <w:szCs w:val="36"/>
        </w:rPr>
        <w:t>二期用地发热肠道门诊拆除工程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rPr>
      </w:pPr>
    </w:p>
    <w:p>
      <w:pPr>
        <w:adjustRightInd w:val="0"/>
        <w:snapToGrid w:val="0"/>
        <w:ind w:firstLine="2249" w:firstLineChars="700"/>
        <w:rPr>
          <w:rFonts w:ascii="宋体" w:hAnsi="宋体"/>
          <w:b/>
          <w:sz w:val="32"/>
          <w:szCs w:val="32"/>
        </w:rPr>
      </w:pP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sz w:val="32"/>
          <w:u w:val="single"/>
        </w:rPr>
        <w:t>八</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szCs w:val="21"/>
              </w:rPr>
            </w:pPr>
            <w:r>
              <w:rPr>
                <w:rFonts w:hint="eastAsia" w:ascii="宋体" w:hAnsi="宋体"/>
                <w:szCs w:val="21"/>
              </w:rPr>
              <w:t>北京清华长庚医院二期用地发热肠道门诊拆除工程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000000" w:themeColor="text1"/>
                <w14:textFill>
                  <w14:solidFill>
                    <w14:schemeClr w14:val="tx1"/>
                  </w14:solidFill>
                </w14:textFill>
              </w:rPr>
              <w:t>发热肠道门诊拆除、渣土挖掘、运输、消纳、地块平整、覆盖，围档；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甲方正式移交房屋后 </w:t>
            </w:r>
            <w:r>
              <w:t>7</w:t>
            </w:r>
            <w:r>
              <w:rPr>
                <w:rFonts w:hint="eastAsia"/>
              </w:rPr>
              <w:t> 日历天内完成拆除、清运及平整场地。 如因安全等特殊原因无法如期完成拆除工作的，承包人应当以书面形式提前报招标人顺延工期，经招标人查实，视项目具体情况另行规定；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具有有效的企业营业执照；</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施工总承包三级及以上资质；</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拟派项目经理应为受聘于投标人的建筑工程专业二级及以上注册建造师，同时具有有效的安全生产考核合格证书（B本）；</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具有合格有效的安全生产许可证；</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投标人在近三年内（201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08</w:t>
            </w:r>
            <w:r>
              <w:rPr>
                <w:rFonts w:hint="eastAsia"/>
                <w:color w:val="000000" w:themeColor="text1"/>
                <w14:textFill>
                  <w14:solidFill>
                    <w14:schemeClr w14:val="tx1"/>
                  </w14:solidFill>
                </w14:textFill>
              </w:rPr>
              <w:t>月-20</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年1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月）没有骗取中标和严重违约及重大工程质量问题；参加本采购活动前三年内，在经营活动中没有重大违法记录；</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具有良好的商业信誉和健全的财务会计制度；</w:t>
            </w:r>
          </w:p>
          <w:p>
            <w:pPr>
              <w:pStyle w:val="55"/>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具有依法缴纳税收和社会保障资金的良好记录；</w:t>
            </w:r>
          </w:p>
          <w:p>
            <w:pPr>
              <w:pStyle w:val="55"/>
              <w:numPr>
                <w:ilvl w:val="0"/>
                <w:numId w:val="3"/>
              </w:numPr>
            </w:pPr>
            <w:r>
              <w:rPr>
                <w:rFonts w:hint="eastAsia"/>
                <w:color w:val="000000" w:themeColor="text1"/>
                <w14:textFill>
                  <w14:solidFill>
                    <w14:schemeClr w14:val="tx1"/>
                  </w14:solidFill>
                </w14:textFill>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pPr>
            <w:r>
              <w:rPr>
                <w:rFonts w:hint="eastAsia"/>
                <w:u w:val="single"/>
              </w:rPr>
              <w:t>壹</w:t>
            </w:r>
            <w:r>
              <w:rPr>
                <w:rFonts w:hint="eastAsia"/>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55"/>
            </w:pPr>
            <w:r>
              <w:rPr>
                <w:rFonts w:hint="eastAsia"/>
              </w:rPr>
              <w:t>时  间：</w:t>
            </w:r>
            <w:r>
              <w:rPr>
                <w:rFonts w:hint="eastAsia"/>
                <w:color w:val="FF0000"/>
              </w:rPr>
              <w:t>20</w:t>
            </w:r>
            <w:r>
              <w:rPr>
                <w:color w:val="FF0000"/>
              </w:rPr>
              <w:t>20</w:t>
            </w:r>
            <w:r>
              <w:rPr>
                <w:rFonts w:hint="eastAsia"/>
                <w:color w:val="FF0000"/>
              </w:rPr>
              <w:t>年</w:t>
            </w:r>
            <w:r>
              <w:rPr>
                <w:color w:val="FF0000"/>
              </w:rPr>
              <w:t>08</w:t>
            </w:r>
            <w:r>
              <w:rPr>
                <w:rFonts w:hint="eastAsia"/>
                <w:color w:val="FF0000"/>
              </w:rPr>
              <w:t>月</w:t>
            </w:r>
            <w:r>
              <w:rPr>
                <w:color w:val="FF0000"/>
              </w:rPr>
              <w:t>13</w:t>
            </w:r>
            <w:r>
              <w:rPr>
                <w:rFonts w:hint="eastAsia"/>
                <w:color w:val="FF0000"/>
              </w:rPr>
              <w:t>日 下午14:00时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FF0000"/>
              </w:rPr>
            </w:pPr>
            <w:r>
              <w:rPr>
                <w:rFonts w:hint="eastAsia"/>
              </w:rPr>
              <w:t>开始时间：</w:t>
            </w:r>
            <w:r>
              <w:rPr>
                <w:rFonts w:hint="eastAsia"/>
                <w:color w:val="FF0000"/>
              </w:rPr>
              <w:t>20</w:t>
            </w:r>
            <w:r>
              <w:rPr>
                <w:color w:val="FF0000"/>
              </w:rPr>
              <w:t>20</w:t>
            </w:r>
            <w:r>
              <w:rPr>
                <w:rFonts w:hint="eastAsia"/>
                <w:color w:val="FF0000"/>
              </w:rPr>
              <w:t>年</w:t>
            </w:r>
            <w:r>
              <w:rPr>
                <w:color w:val="FF0000"/>
              </w:rPr>
              <w:t>08</w:t>
            </w:r>
            <w:r>
              <w:rPr>
                <w:rFonts w:hint="eastAsia"/>
                <w:color w:val="FF0000"/>
              </w:rPr>
              <w:t>月</w:t>
            </w:r>
            <w:r>
              <w:rPr>
                <w:color w:val="FF0000"/>
              </w:rPr>
              <w:t>13</w:t>
            </w:r>
            <w:r>
              <w:rPr>
                <w:rFonts w:hint="eastAsia"/>
                <w:color w:val="FF0000"/>
              </w:rPr>
              <w:t>日 下午14:00时</w:t>
            </w:r>
          </w:p>
          <w:p>
            <w:pPr>
              <w:pStyle w:val="55"/>
            </w:pPr>
            <w:r>
              <w:rPr>
                <w:rFonts w:hint="eastAsia"/>
              </w:rPr>
              <w:t>地    点: 北京清</w:t>
            </w:r>
            <w:r>
              <w:t>华长庚医院</w:t>
            </w:r>
            <w:r>
              <w:rPr>
                <w:rFonts w:hint="eastAsia"/>
              </w:rPr>
              <w:t>2</w:t>
            </w:r>
            <w:r>
              <w:t>#楼</w:t>
            </w:r>
            <w:r>
              <w:rPr>
                <w:rFonts w:hint="eastAsia"/>
              </w:rPr>
              <w:t>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C00000"/>
              </w:rPr>
            </w:pPr>
            <w:r>
              <w:rPr>
                <w:rFonts w:hint="eastAsia"/>
                <w:color w:val="C00000"/>
              </w:rPr>
              <w:t>人民币</w:t>
            </w:r>
            <w:r>
              <w:rPr>
                <w:rFonts w:ascii="宋体" w:hAnsi="宋体" w:eastAsia="宋体" w:cs="宋体"/>
                <w:sz w:val="24"/>
                <w:szCs w:val="24"/>
              </w:rPr>
              <w:t>291,543.35</w:t>
            </w:r>
            <w:r>
              <w:rPr>
                <w:rFonts w:hint="eastAsia"/>
                <w:color w:val="C00000"/>
              </w:rPr>
              <w:t>元</w:t>
            </w:r>
          </w:p>
          <w:p>
            <w:pPr>
              <w:spacing w:line="312" w:lineRule="auto"/>
              <w:ind w:firstLine="0" w:firstLineChars="0"/>
              <w:rPr>
                <w:color w:val="FF0000"/>
              </w:rPr>
            </w:pPr>
            <w:r>
              <w:rPr>
                <w:rFonts w:hint="eastAsia"/>
                <w:color w:val="C00000"/>
              </w:rPr>
              <w:t>（大写：贰拾玖</w:t>
            </w:r>
            <w:r>
              <w:rPr>
                <w:rFonts w:hint="eastAsia"/>
                <w:color w:val="C00000"/>
                <w:lang w:eastAsia="zh-CN"/>
              </w:rPr>
              <w:t>万壹仟伍佰肆拾叁元叁角伍分</w:t>
            </w:r>
            <w:r>
              <w:rPr>
                <w:rFonts w:hint="eastAsia"/>
                <w:color w:val="C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rPr>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20</w:t>
            </w:r>
            <w:r>
              <w:rPr>
                <w:rFonts w:hint="eastAsia" w:ascii="宋体" w:hAnsi="宋体"/>
                <w:color w:val="FF0000"/>
              </w:rPr>
              <w:t>年</w:t>
            </w:r>
            <w:r>
              <w:rPr>
                <w:rFonts w:ascii="宋体" w:hAnsi="宋体"/>
                <w:color w:val="FF0000"/>
              </w:rPr>
              <w:t>08</w:t>
            </w:r>
            <w:r>
              <w:rPr>
                <w:rFonts w:hint="eastAsia" w:ascii="宋体" w:hAnsi="宋体"/>
                <w:color w:val="FF0000"/>
              </w:rPr>
              <w:t>月</w:t>
            </w:r>
            <w:r>
              <w:rPr>
                <w:rFonts w:ascii="宋体" w:hAnsi="宋体"/>
                <w:color w:val="FF0000"/>
              </w:rPr>
              <w:t>10</w:t>
            </w:r>
            <w:r>
              <w:rPr>
                <w:rFonts w:hint="eastAsia" w:ascii="宋体" w:hAnsi="宋体"/>
                <w:color w:val="FF0000"/>
              </w:rPr>
              <w:t>日</w:t>
            </w:r>
            <w:r>
              <w:rPr>
                <w:rFonts w:ascii="宋体" w:hAnsi="宋体"/>
                <w:color w:val="FF0000"/>
              </w:rPr>
              <w:t>至</w:t>
            </w:r>
            <w:r>
              <w:rPr>
                <w:rFonts w:hint="eastAsia" w:ascii="宋体" w:hAnsi="宋体"/>
                <w:color w:val="FF0000"/>
              </w:rPr>
              <w:t>20</w:t>
            </w:r>
            <w:r>
              <w:rPr>
                <w:rFonts w:ascii="宋体" w:hAnsi="宋体"/>
                <w:color w:val="FF0000"/>
              </w:rPr>
              <w:t>20</w:t>
            </w:r>
            <w:r>
              <w:rPr>
                <w:rFonts w:hint="eastAsia" w:ascii="宋体" w:hAnsi="宋体"/>
                <w:color w:val="FF0000"/>
              </w:rPr>
              <w:t>年</w:t>
            </w:r>
            <w:r>
              <w:rPr>
                <w:rFonts w:ascii="宋体" w:hAnsi="宋体"/>
                <w:color w:val="FF0000"/>
              </w:rPr>
              <w:t>08</w:t>
            </w:r>
            <w:r>
              <w:rPr>
                <w:rFonts w:hint="eastAsia" w:ascii="宋体" w:hAnsi="宋体"/>
                <w:color w:val="FF0000"/>
              </w:rPr>
              <w:t>月</w:t>
            </w:r>
            <w:r>
              <w:rPr>
                <w:rFonts w:ascii="宋体" w:hAnsi="宋体"/>
                <w:color w:val="FF0000"/>
              </w:rPr>
              <w:t>12</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，上午</w:t>
            </w:r>
            <w:r>
              <w:rPr>
                <w:color w:val="FF0000"/>
              </w:rPr>
              <w:t>9:00</w:t>
            </w:r>
            <w:r>
              <w:rPr>
                <w:rFonts w:hint="eastAsia"/>
                <w:color w:val="FF0000"/>
              </w:rPr>
              <w:t>至</w:t>
            </w:r>
            <w:r>
              <w:rPr>
                <w:color w:val="FF0000"/>
              </w:rPr>
              <w:t>11:00</w:t>
            </w:r>
            <w:r>
              <w:rPr>
                <w:rFonts w:hint="eastAsia"/>
                <w:color w:val="FF0000"/>
              </w:rPr>
              <w:t>；下午</w:t>
            </w:r>
            <w:r>
              <w:rPr>
                <w:color w:val="FF0000"/>
              </w:rPr>
              <w:t>2:</w:t>
            </w:r>
            <w:r>
              <w:rPr>
                <w:rFonts w:hint="eastAsia"/>
                <w:color w:val="FF0000"/>
              </w:rPr>
              <w:t>0</w:t>
            </w:r>
            <w:r>
              <w:rPr>
                <w:color w:val="FF0000"/>
              </w:rPr>
              <w:t>0</w:t>
            </w:r>
            <w:r>
              <w:rPr>
                <w:rFonts w:hint="eastAsia"/>
                <w:color w:val="FF0000"/>
              </w:rPr>
              <w:t>至</w:t>
            </w:r>
            <w:r>
              <w:rPr>
                <w:color w:val="FF0000"/>
              </w:rPr>
              <w:t>4:</w:t>
            </w:r>
            <w:r>
              <w:rPr>
                <w:rFonts w:hint="eastAsia"/>
                <w:color w:val="FF0000"/>
              </w:rPr>
              <w:t>0</w:t>
            </w:r>
            <w:r>
              <w:rPr>
                <w:color w:val="FF0000"/>
              </w:rPr>
              <w:t>0</w:t>
            </w:r>
            <w:r>
              <w:rPr>
                <w:rFonts w:hint="eastAsia"/>
                <w:color w:val="FF0000"/>
              </w:rPr>
              <w:t>（北京时间）。</w:t>
            </w:r>
            <w:r>
              <w:rPr>
                <w:rFonts w:hint="eastAsia"/>
              </w:rPr>
              <w:t>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地点：北京清</w:t>
            </w:r>
            <w:r>
              <w:t>华长庚医院</w:t>
            </w:r>
            <w:r>
              <w:rPr>
                <w:rFonts w:hint="eastAsia"/>
              </w:rPr>
              <w:t>2</w:t>
            </w:r>
            <w:r>
              <w:t>#楼</w:t>
            </w:r>
            <w:r>
              <w:rPr>
                <w:rFonts w:hint="eastAsia"/>
              </w:rPr>
              <w:t>；</w:t>
            </w:r>
          </w:p>
          <w:p>
            <w:pPr>
              <w:spacing w:line="312" w:lineRule="auto"/>
              <w:ind w:firstLine="0" w:firstLineChars="0"/>
            </w:pPr>
            <w:r>
              <w:rPr>
                <w:rFonts w:hint="eastAsia"/>
              </w:rPr>
              <w:t>联</w:t>
            </w:r>
            <w:r>
              <w:t>系人：</w:t>
            </w:r>
            <w:r>
              <w:rPr>
                <w:rFonts w:hint="eastAsia"/>
              </w:rPr>
              <w:t>袁老师；</w:t>
            </w:r>
          </w:p>
          <w:p>
            <w:pPr>
              <w:spacing w:line="312" w:lineRule="auto"/>
              <w:ind w:firstLine="0" w:firstLineChars="0"/>
            </w:pPr>
            <w:r>
              <w:t>联系电话：</w:t>
            </w:r>
            <w:r>
              <w:rPr>
                <w:rFonts w:hint="eastAsia"/>
              </w:rPr>
              <w:t>0</w:t>
            </w:r>
            <w:r>
              <w:t>10-5611-8782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19</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其他</w:t>
            </w:r>
          </w:p>
        </w:tc>
        <w:tc>
          <w:tcPr>
            <w:tcW w:w="5101" w:type="dxa"/>
            <w:vAlign w:val="center"/>
          </w:tcPr>
          <w:p>
            <w:pPr>
              <w:numPr>
                <w:ilvl w:val="0"/>
                <w:numId w:val="4"/>
              </w:numPr>
              <w:spacing w:line="312" w:lineRule="auto"/>
              <w:ind w:firstLine="0" w:firstLineChars="0"/>
            </w:pPr>
            <w:r>
              <w:rPr>
                <w:rFonts w:hint="eastAsia"/>
              </w:rPr>
              <w:t> 本项目开工时，具体情况承包人可咨询招标方相关人员，且项目现场施工通行通道等条件有限，开展拆除工作有一定的工作难度的，需要各方积极配合，相关费用包含在投标价内，投标人自行踏勘现场后，综合考虑报价，一旦中标，不因现场及项目自身情况不明等理由向招标人另行追加费用。（例如：由于运输原因，以不损坏道路设施等为由，需另行增加道路等方面涉及的二次保护费用；所拆建筑物周围的车辆、树木等的防护、照明和场外的道路交通、环卫等工作，环卫、伐树、渣土处理、噪声等文明施工费用；由于项目工程施工原因，须进行的地下管线保护费用、所拆建筑边及其他需要保护的电力设施等管网保护费用、临近原有建筑的保护费用、周边住户的协调费用等等）。 </w:t>
            </w:r>
          </w:p>
          <w:p>
            <w:pPr>
              <w:numPr>
                <w:ilvl w:val="0"/>
                <w:numId w:val="4"/>
              </w:numPr>
              <w:spacing w:line="312" w:lineRule="auto"/>
              <w:ind w:firstLine="0" w:firstLineChars="0"/>
            </w:pPr>
            <w:r>
              <w:rPr>
                <w:rFonts w:hint="eastAsia"/>
              </w:rPr>
              <w:t xml:space="preserve">拆除建筑内高压氧仓内附属压力仓等可移动设置属保护性拆除，拆除后院内倒运至甲方指定位置。 </w:t>
            </w:r>
          </w:p>
          <w:p>
            <w:pPr>
              <w:numPr>
                <w:ilvl w:val="0"/>
                <w:numId w:val="4"/>
              </w:numPr>
              <w:spacing w:line="312" w:lineRule="auto"/>
              <w:ind w:firstLine="0" w:firstLineChars="0"/>
            </w:pPr>
            <w:r>
              <w:rPr>
                <w:rFonts w:hint="eastAsia"/>
              </w:rPr>
              <w:t>对拆房范围内相关水、电及其他公共设施，中标人有监督管理的义务。如发生被盗、丢失的情况，损失由中标人自行负责。 </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ind w:left="210"/>
      </w:pPr>
      <w:r>
        <w:rPr>
          <w:rFonts w:hint="eastAsia"/>
        </w:rPr>
        <w:t>本招标工程项目说明详见本须知前附表第1项～第</w:t>
      </w:r>
      <w:r>
        <w:t>5</w:t>
      </w:r>
      <w:r>
        <w:rPr>
          <w:rFonts w:hint="eastAsia"/>
        </w:rPr>
        <w:t>项；</w:t>
      </w:r>
    </w:p>
    <w:p>
      <w:pPr>
        <w:pStyle w:val="6"/>
        <w:ind w:left="210"/>
      </w:pPr>
      <w:r>
        <w:rPr>
          <w:rFonts w:hint="eastAsia"/>
        </w:rPr>
        <w:t>本招标工程项目按照《中华人民共和国招标投标法》、《中华人民共和国建筑法》、《中华人民共和国合同法》等有关法律、法规和规章，通过招标方式选定承包人。</w:t>
      </w:r>
    </w:p>
    <w:p>
      <w:pPr>
        <w:pStyle w:val="6"/>
        <w:ind w:left="210"/>
      </w:pPr>
      <w:r>
        <w:rPr>
          <w:rFonts w:hint="eastAsia"/>
        </w:rPr>
        <w:t>工程概况：</w:t>
      </w:r>
    </w:p>
    <w:p>
      <w:pPr>
        <w:pStyle w:val="7"/>
        <w:ind w:firstLine="516" w:firstLineChars="246"/>
        <w:rPr>
          <w:b/>
          <w:color w:val="0070C0"/>
        </w:rPr>
      </w:pPr>
      <w:r>
        <w:rPr>
          <w:rFonts w:hint="eastAsia"/>
        </w:rPr>
        <w:t>项目名称：</w:t>
      </w:r>
      <w:r>
        <w:rPr>
          <w:rFonts w:hint="eastAsia"/>
          <w:b/>
          <w:szCs w:val="21"/>
          <w:u w:val="single"/>
        </w:rPr>
        <w:t>北京清华长庚医院二期用地发热肠道门诊拆除工程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left="210"/>
      </w:pPr>
      <w:r>
        <w:rPr>
          <w:rFonts w:hint="eastAsia"/>
        </w:rPr>
        <w:t>本招标工程项目的范围详见本须知前附表第6项。</w:t>
      </w:r>
    </w:p>
    <w:p>
      <w:pPr>
        <w:pStyle w:val="6"/>
        <w:ind w:left="210"/>
      </w:pPr>
      <w:r>
        <w:rPr>
          <w:rFonts w:hint="eastAsia"/>
        </w:rPr>
        <w:t>本招标工程项目的工期要求详见本须知前附表第7项。</w:t>
      </w:r>
    </w:p>
    <w:p>
      <w:pPr>
        <w:pStyle w:val="6"/>
        <w:ind w:left="21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left="21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left="210"/>
      </w:pPr>
      <w:r>
        <w:rPr>
          <w:rFonts w:hint="eastAsia"/>
        </w:rPr>
        <w:t>投</w:t>
      </w:r>
      <w:r>
        <w:t>标人应具备承担本项目施工的资质条件、能力和信誉。</w:t>
      </w:r>
    </w:p>
    <w:p>
      <w:pPr>
        <w:pStyle w:val="8"/>
        <w:ind w:firstLine="420" w:firstLineChars="200"/>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ind w:firstLine="420" w:firstLineChars="200"/>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ind w:firstLine="420" w:firstLineChars="200"/>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ind w:firstLine="420" w:firstLineChars="200"/>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ind w:firstLine="420" w:firstLineChars="200"/>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left="210"/>
      </w:pPr>
      <w:r>
        <w:rPr>
          <w:rFonts w:hint="eastAsia"/>
        </w:rPr>
        <w:t>投标人合格条件详见本招标工程施工招标公告。</w:t>
      </w:r>
    </w:p>
    <w:p>
      <w:pPr>
        <w:pStyle w:val="6"/>
        <w:ind w:left="210"/>
      </w:pPr>
      <w:r>
        <w:rPr>
          <w:rFonts w:hint="eastAsia"/>
        </w:rPr>
        <w:t>投</w:t>
      </w:r>
      <w:r>
        <w:t>标人不得存在下列情形</w:t>
      </w:r>
      <w:r>
        <w:rPr>
          <w:rFonts w:hint="eastAsia"/>
        </w:rPr>
        <w:t>之</w:t>
      </w:r>
      <w:r>
        <w:t>一</w:t>
      </w:r>
      <w:r>
        <w:rPr>
          <w:rFonts w:hint="eastAsia"/>
        </w:rPr>
        <w:t>。</w:t>
      </w:r>
    </w:p>
    <w:p>
      <w:pPr>
        <w:pStyle w:val="7"/>
      </w:pPr>
      <w:r>
        <w:rPr>
          <w:rFonts w:hint="eastAsia"/>
        </w:rPr>
        <w:t xml:space="preserve"> </w:t>
      </w:r>
      <w:r>
        <w:t xml:space="preserve"> </w:t>
      </w:r>
      <w:r>
        <w:rPr>
          <w:rFonts w:hint="eastAsia"/>
        </w:rPr>
        <w:t xml:space="preserve"> </w:t>
      </w:r>
      <w: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ind w:firstLine="420" w:firstLineChars="200"/>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 xml:space="preserve"> </w:t>
      </w:r>
      <w:r>
        <w:t xml:space="preserve"> </w:t>
      </w: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color w:val="auto"/>
        </w:rPr>
        <w:t xml:space="preserve"> </w:t>
      </w:r>
      <w:r>
        <w:rPr>
          <w:rFonts w:hint="eastAsia"/>
          <w:color w:val="auto"/>
        </w:rPr>
        <w:t xml:space="preserve">  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w:t>
      </w:r>
      <w:r>
        <w:rPr>
          <w:rFonts w:hint="eastAsia"/>
        </w:rPr>
        <w:t xml:space="preserve">  </w:t>
      </w: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w:t>
      </w:r>
      <w:r>
        <w:rPr>
          <w:rFonts w:hint="eastAsia"/>
        </w:rPr>
        <w:t xml:space="preserve">  </w:t>
      </w: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630" w:firstLineChars="300"/>
      </w:pPr>
      <w:r>
        <w:rPr>
          <w:rFonts w:hint="eastAsia"/>
        </w:rPr>
        <w:t>4</w:t>
      </w:r>
      <w:r>
        <w:t>.3.10</w:t>
      </w:r>
      <w:r>
        <w:rPr>
          <w:rFonts w:hint="eastAsia"/>
        </w:rPr>
        <w:t>被</w:t>
      </w:r>
      <w:r>
        <w:t>暂停或取消投票资格的。</w:t>
      </w:r>
    </w:p>
    <w:p>
      <w:pPr>
        <w:pStyle w:val="7"/>
        <w:ind w:firstLine="630" w:firstLineChars="300"/>
      </w:pPr>
      <w:r>
        <w:rPr>
          <w:rFonts w:hint="eastAsia"/>
        </w:rPr>
        <w:t>4</w:t>
      </w:r>
      <w:r>
        <w:t>.3.11</w:t>
      </w:r>
      <w:r>
        <w:rPr>
          <w:rFonts w:hint="eastAsia"/>
        </w:rPr>
        <w:t>财产</w:t>
      </w:r>
      <w:r>
        <w:t>被接管或冻结的。</w:t>
      </w:r>
    </w:p>
    <w:p>
      <w:pPr>
        <w:pStyle w:val="7"/>
        <w:ind w:firstLine="525" w:firstLineChars="2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left="21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left="210"/>
      </w:pPr>
      <w:r>
        <w:rPr>
          <w:rFonts w:hint="eastAsia"/>
        </w:rPr>
        <w:t>本招标工程项目采用本须知前附表第10项所述的资格审查方式确定合格投标人。</w:t>
      </w:r>
    </w:p>
    <w:p>
      <w:pPr>
        <w:pStyle w:val="5"/>
      </w:pPr>
      <w:r>
        <w:rPr>
          <w:rFonts w:hint="eastAsia"/>
        </w:rPr>
        <w:t>踏勘现场</w:t>
      </w:r>
    </w:p>
    <w:p>
      <w:pPr>
        <w:ind w:firstLine="210" w:firstLineChars="10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210" w:firstLineChars="10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210" w:firstLineChars="10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有关说明</w:t>
      </w:r>
    </w:p>
    <w:p>
      <w:pPr>
        <w:pStyle w:val="6"/>
        <w:ind w:left="210"/>
      </w:pPr>
      <w:r>
        <w:rPr>
          <w:rFonts w:hint="eastAsia"/>
        </w:rPr>
        <w:t xml:space="preserve">拆除方式：原则上以机械拆除为主。  </w:t>
      </w:r>
    </w:p>
    <w:p>
      <w:pPr>
        <w:pStyle w:val="6"/>
        <w:ind w:left="210"/>
      </w:pPr>
      <w:r>
        <w:rPr>
          <w:rFonts w:hint="eastAsia"/>
        </w:rPr>
        <w:t xml:space="preserve">质量要求：将房屋拆除至原室外地坪（包含下部的基础部分），并凿除房屋室内地坪以上部分设备基础；清运建筑垃圾至原地坪标高。拆房备案、清运废土许可、施工作业人员人身意外伤害保险等手续由投标人负责办理。  </w:t>
      </w:r>
    </w:p>
    <w:p>
      <w:pPr>
        <w:pStyle w:val="6"/>
        <w:ind w:left="210"/>
        <w:rPr>
          <w:b/>
          <w:bCs w:val="0"/>
        </w:rPr>
      </w:pPr>
      <w:r>
        <w:rPr>
          <w:rFonts w:hint="eastAsia"/>
          <w:b/>
          <w:bCs w:val="0"/>
        </w:rPr>
        <w:t>工期要求：单体被拆除移交建筑给中标方后</w:t>
      </w:r>
      <w:r>
        <w:rPr>
          <w:b/>
          <w:bCs w:val="0"/>
        </w:rPr>
        <w:t>7</w:t>
      </w:r>
      <w:r>
        <w:rPr>
          <w:rFonts w:hint="eastAsia"/>
          <w:b/>
          <w:bCs w:val="0"/>
        </w:rPr>
        <w:t>天内按质量要求全部拆完，并清运完建筑垃圾，完成场地平整。由于中标人原因造成不能按中标合同工期拆除完毕，从中标方接收被拆迁建筑之日起，按招标工期每推迟一天，按</w:t>
      </w:r>
      <w:r>
        <w:rPr>
          <w:rFonts w:hint="eastAsia"/>
          <w:b/>
          <w:bCs w:val="0"/>
          <w:u w:val="single"/>
        </w:rPr>
        <w:t xml:space="preserve"> 壹 </w:t>
      </w:r>
      <w:r>
        <w:rPr>
          <w:rFonts w:hint="eastAsia"/>
          <w:b/>
          <w:bCs w:val="0"/>
        </w:rPr>
        <w:t>仟元/天支付违约金。 </w:t>
      </w:r>
    </w:p>
    <w:p>
      <w:pPr>
        <w:pStyle w:val="6"/>
        <w:ind w:left="210"/>
        <w:rPr>
          <w:b/>
          <w:bCs w:val="0"/>
        </w:rPr>
      </w:pPr>
      <w:r>
        <w:rPr>
          <w:rFonts w:hint="eastAsia"/>
          <w:b/>
          <w:bCs w:val="0"/>
        </w:rPr>
        <w:t xml:space="preserve"> </w:t>
      </w:r>
      <w:r>
        <w:rPr>
          <w:rFonts w:hint="eastAsia"/>
        </w:rPr>
        <w:t>安全措施和文明施工 </w:t>
      </w:r>
    </w:p>
    <w:p>
      <w:pPr>
        <w:pStyle w:val="7"/>
        <w:ind w:firstLine="422" w:firstLineChars="200"/>
        <w:rPr>
          <w:b/>
          <w:bCs/>
        </w:rPr>
      </w:pPr>
      <w:r>
        <w:rPr>
          <w:rFonts w:hint="eastAsia"/>
          <w:b/>
          <w:bCs/>
        </w:rPr>
        <w:t>6.4.1 拆房单位在拆房期间必须按规定要求做好现场安全文明施工工作；拆房前做好周边沟通工作，并保护好周边未拆迁场地内的建筑物等；房屋拆迁施工时,必须拉网做好安全隔离；施工场地内要求警示标志明显，安全设施配备到位。</w:t>
      </w:r>
    </w:p>
    <w:p>
      <w:pPr>
        <w:pStyle w:val="8"/>
        <w:ind w:firstLine="422" w:firstLineChars="200"/>
        <w:rPr>
          <w:b/>
          <w:bCs/>
        </w:rPr>
      </w:pPr>
      <w:r>
        <w:rPr>
          <w:rFonts w:hint="eastAsia" w:ascii="宋体" w:hAnsi="宋体"/>
          <w:b/>
          <w:bCs/>
          <w:color w:val="auto"/>
        </w:rPr>
        <w:t xml:space="preserve">6.4.2 </w:t>
      </w:r>
      <w:r>
        <w:rPr>
          <w:rFonts w:hint="eastAsia"/>
          <w:b/>
          <w:bCs/>
          <w:color w:val="auto"/>
        </w:rPr>
        <w:t>拆除单位全面负责所拆建筑物周围的车辆、树木等的防护，照明和场外的道路交通、环卫等工作，环卫、伐树、渣土处理、噪声等，如需办理相关手续，由拆除单位负责办理，其产生费用均含在投标报价里，闭口包干。</w:t>
      </w:r>
    </w:p>
    <w:p>
      <w:pPr>
        <w:pStyle w:val="9"/>
        <w:rPr>
          <w:rFonts w:ascii="宋体" w:hAnsi="宋体"/>
          <w:b/>
          <w:bCs/>
          <w:snapToGrid/>
          <w:kern w:val="2"/>
          <w:sz w:val="21"/>
        </w:rPr>
      </w:pPr>
      <w:r>
        <w:rPr>
          <w:rFonts w:hint="eastAsia" w:ascii="宋体" w:hAnsi="宋体"/>
          <w:b/>
          <w:bCs/>
          <w:snapToGrid/>
          <w:kern w:val="2"/>
          <w:sz w:val="21"/>
        </w:rPr>
        <w:t xml:space="preserve">   6.4.3 四周居民及领近单位协调工作由拆除单位全权负责，相关费用计入投标报价，闭口包干。</w:t>
      </w:r>
    </w:p>
    <w:p>
      <w:pPr>
        <w:pStyle w:val="10"/>
        <w:rPr>
          <w:b/>
          <w:bCs/>
        </w:rPr>
      </w:pPr>
      <w:r>
        <w:rPr>
          <w:rFonts w:hint="eastAsia" w:ascii="宋体" w:hAnsi="宋体"/>
          <w:b/>
          <w:bCs/>
          <w:snapToGrid/>
          <w:kern w:val="2"/>
          <w:sz w:val="21"/>
        </w:rPr>
        <w:t xml:space="preserve">  6.4.4 由于中标人的原因造成拆房人员伤亡事故、第三方事故或使招标人受损等，将由拆房方承担全部责任</w:t>
      </w:r>
    </w:p>
    <w:p>
      <w:pPr>
        <w:pStyle w:val="5"/>
      </w:pPr>
      <w:r>
        <w:rPr>
          <w:rFonts w:hint="eastAsia"/>
        </w:rPr>
        <w:t>投标费用</w:t>
      </w:r>
    </w:p>
    <w:p>
      <w:pPr>
        <w:pStyle w:val="6"/>
        <w:ind w:left="210"/>
      </w:pPr>
      <w:r>
        <w:rPr>
          <w:rFonts w:hint="eastAsia"/>
        </w:rPr>
        <w:t>投标人应承担其参加本招标活动自身所发生的费用；</w:t>
      </w:r>
    </w:p>
    <w:p>
      <w:pPr>
        <w:pStyle w:val="5"/>
      </w:pPr>
      <w:r>
        <w:rPr>
          <w:rFonts w:hint="eastAsia"/>
        </w:rPr>
        <w:t>保密</w:t>
      </w:r>
      <w:r>
        <w:t>事项</w:t>
      </w:r>
    </w:p>
    <w:p>
      <w:pPr>
        <w:pStyle w:val="6"/>
        <w:ind w:left="21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ind w:left="21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ind w:left="21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left="21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left="21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left="210"/>
      </w:pPr>
      <w:r>
        <w:rPr>
          <w:rFonts w:hint="eastAsia"/>
        </w:rPr>
        <w:t>招标文件发出后，在提交投标文件截止时间</w:t>
      </w:r>
      <w:r>
        <w:t>1</w:t>
      </w:r>
      <w:r>
        <w:rPr>
          <w:rFonts w:hint="eastAsia"/>
        </w:rPr>
        <w:t>日前，招标人可对招标文件进行必要的澄清或修改。</w:t>
      </w:r>
    </w:p>
    <w:p>
      <w:pPr>
        <w:pStyle w:val="6"/>
        <w:ind w:left="21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left="21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left="21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ind w:left="210"/>
      </w:pPr>
      <w:r>
        <w:rPr>
          <w:rFonts w:hint="eastAsia"/>
        </w:rPr>
        <w:t>投标文件和与投标有关的所有文件均应使用简体中文。</w:t>
      </w:r>
    </w:p>
    <w:p>
      <w:pPr>
        <w:pStyle w:val="6"/>
        <w:ind w:left="21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left="210"/>
      </w:pPr>
      <w:r>
        <w:rPr>
          <w:rFonts w:hint="eastAsia"/>
        </w:rPr>
        <w:t>投标文件由商务标、经济标部分和技术标部分三部分组成。</w:t>
      </w:r>
    </w:p>
    <w:p>
      <w:pPr>
        <w:pStyle w:val="6"/>
        <w:ind w:left="21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w:t>
      </w:r>
      <w:r>
        <w:rPr>
          <w:color w:val="auto"/>
        </w:rPr>
        <w:t>7</w:t>
      </w:r>
      <w:r>
        <w:rPr>
          <w:rFonts w:hint="eastAsia"/>
          <w:color w:val="auto"/>
        </w:rPr>
        <w:t>年</w:t>
      </w:r>
      <w:r>
        <w:rPr>
          <w:color w:val="auto"/>
        </w:rPr>
        <w:t>08</w:t>
      </w:r>
      <w:r>
        <w:rPr>
          <w:rFonts w:hint="eastAsia"/>
          <w:color w:val="auto"/>
        </w:rPr>
        <w:t>月-20</w:t>
      </w:r>
      <w:r>
        <w:rPr>
          <w:color w:val="auto"/>
        </w:rPr>
        <w:t>20</w:t>
      </w:r>
      <w:r>
        <w:rPr>
          <w:rFonts w:hint="eastAsia"/>
          <w:color w:val="auto"/>
        </w:rPr>
        <w:t>年</w:t>
      </w:r>
      <w:r>
        <w:rPr>
          <w:color w:val="auto"/>
        </w:rPr>
        <w:t>08</w:t>
      </w:r>
      <w:r>
        <w:rPr>
          <w:rFonts w:hint="eastAsia"/>
          <w:color w:val="auto"/>
        </w:rPr>
        <w:t>月）没有骗取中标和严重违约及重大工程质量问题；参加本采购活动前三年内，在经营活动中没有重大违法记录；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left="21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rPr>
          <w:color w:val="auto"/>
        </w:rPr>
      </w:pPr>
      <w:r>
        <w:rPr>
          <w:rFonts w:hint="eastAsia"/>
          <w:color w:val="auto"/>
        </w:rPr>
        <w:t xml:space="preserve">    （2</w:t>
      </w:r>
      <w:r>
        <w:rPr>
          <w:color w:val="auto"/>
        </w:rPr>
        <w:t>）</w:t>
      </w:r>
      <w:r>
        <w:rPr>
          <w:rFonts w:hint="eastAsia"/>
          <w:color w:val="auto"/>
        </w:rPr>
        <w:t>总</w:t>
      </w:r>
      <w:r>
        <w:rPr>
          <w:color w:val="auto"/>
        </w:rPr>
        <w:t>说明（</w:t>
      </w:r>
      <w:r>
        <w:rPr>
          <w:rFonts w:hint="eastAsia"/>
          <w:color w:val="auto"/>
        </w:rPr>
        <w:t>表-01</w:t>
      </w:r>
      <w:r>
        <w:rPr>
          <w:color w:val="auto"/>
        </w:rP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rPr>
          <w:color w:val="auto"/>
        </w:rPr>
      </w:pPr>
      <w:r>
        <w:rPr>
          <w:rFonts w:hint="eastAsia"/>
          <w:color w:val="auto"/>
        </w:rPr>
        <w:t xml:space="preserve">    （4</w:t>
      </w:r>
      <w:r>
        <w:rPr>
          <w:color w:val="auto"/>
        </w:rPr>
        <w:t>）</w:t>
      </w:r>
      <w:r>
        <w:rPr>
          <w:rFonts w:hint="eastAsia"/>
          <w:color w:val="auto"/>
        </w:rPr>
        <w:t>单</w:t>
      </w:r>
      <w:r>
        <w:rPr>
          <w:color w:val="auto"/>
        </w:rPr>
        <w:t>位工程投票报价汇总表（</w:t>
      </w:r>
      <w:r>
        <w:rPr>
          <w:rFonts w:hint="eastAsia"/>
          <w:color w:val="auto"/>
        </w:rPr>
        <w:t>表-03</w:t>
      </w:r>
      <w:r>
        <w:rPr>
          <w:color w:val="auto"/>
        </w:rPr>
        <w:t>）</w:t>
      </w:r>
    </w:p>
    <w:p>
      <w:pPr>
        <w:pStyle w:val="8"/>
        <w:rPr>
          <w:color w:val="auto"/>
        </w:rPr>
      </w:pPr>
      <w:r>
        <w:rPr>
          <w:rFonts w:hint="eastAsia"/>
          <w:color w:val="auto"/>
        </w:rPr>
        <w:t xml:space="preserve">    （5</w:t>
      </w:r>
      <w:r>
        <w:rPr>
          <w:color w:val="auto"/>
        </w:rPr>
        <w:t>）</w:t>
      </w:r>
      <w:r>
        <w:rPr>
          <w:rFonts w:hint="eastAsia"/>
          <w:color w:val="auto"/>
        </w:rPr>
        <w:t>分</w:t>
      </w:r>
      <w:r>
        <w:rPr>
          <w:color w:val="auto"/>
        </w:rPr>
        <w:t>部分项工程</w:t>
      </w:r>
      <w:r>
        <w:rPr>
          <w:rFonts w:hint="eastAsia"/>
          <w:color w:val="auto"/>
        </w:rPr>
        <w:t>量</w:t>
      </w:r>
      <w:r>
        <w:rPr>
          <w:color w:val="auto"/>
        </w:rPr>
        <w:t>清单与计价表（</w:t>
      </w:r>
      <w:r>
        <w:rPr>
          <w:rFonts w:hint="eastAsia"/>
          <w:color w:val="auto"/>
        </w:rPr>
        <w:t>表-06</w:t>
      </w:r>
      <w:r>
        <w:rPr>
          <w:color w:val="auto"/>
        </w:rPr>
        <w:t>）</w:t>
      </w:r>
    </w:p>
    <w:p>
      <w:pPr>
        <w:pStyle w:val="8"/>
        <w:rPr>
          <w:color w:val="auto"/>
        </w:rPr>
      </w:pPr>
      <w:r>
        <w:rPr>
          <w:rFonts w:hint="eastAsia"/>
          <w:color w:val="auto"/>
        </w:rPr>
        <w:t xml:space="preserve">    （6</w:t>
      </w:r>
      <w:r>
        <w:rPr>
          <w:color w:val="auto"/>
        </w:rPr>
        <w:t>）</w:t>
      </w:r>
      <w:r>
        <w:rPr>
          <w:rFonts w:hint="eastAsia"/>
          <w:color w:val="auto"/>
        </w:rPr>
        <w:t>措施</w:t>
      </w:r>
      <w:r>
        <w:rPr>
          <w:color w:val="auto"/>
        </w:rPr>
        <w:t>项目清单与计价表</w:t>
      </w:r>
      <w:r>
        <w:rPr>
          <w:rFonts w:hint="eastAsia"/>
          <w:color w:val="auto"/>
        </w:rPr>
        <w:t>（一</w:t>
      </w:r>
      <w:r>
        <w:rPr>
          <w:color w:val="auto"/>
        </w:rPr>
        <w:t>）</w:t>
      </w:r>
      <w:r>
        <w:rPr>
          <w:rFonts w:hint="eastAsia"/>
          <w:color w:val="auto"/>
        </w:rPr>
        <w:t>(表-08)</w:t>
      </w:r>
    </w:p>
    <w:p>
      <w:pPr>
        <w:pStyle w:val="8"/>
        <w:rPr>
          <w:color w:val="auto"/>
        </w:rPr>
      </w:pPr>
      <w:r>
        <w:rPr>
          <w:rFonts w:hint="eastAsia"/>
          <w:color w:val="auto"/>
        </w:rPr>
        <w:t xml:space="preserve">    （7</w:t>
      </w:r>
      <w:r>
        <w:rPr>
          <w:color w:val="auto"/>
        </w:rPr>
        <w:t>）</w:t>
      </w:r>
      <w:r>
        <w:rPr>
          <w:rFonts w:hint="eastAsia"/>
          <w:color w:val="auto"/>
        </w:rPr>
        <w:t>规费</w:t>
      </w:r>
      <w:r>
        <w:rPr>
          <w:color w:val="auto"/>
        </w:rPr>
        <w:t>、税金项目清单与计价表（</w:t>
      </w:r>
      <w:r>
        <w:rPr>
          <w:rFonts w:hint="eastAsia"/>
          <w:color w:val="auto"/>
        </w:rPr>
        <w:t>表-11</w:t>
      </w:r>
      <w:r>
        <w:rPr>
          <w:color w:val="auto"/>
        </w:rP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rPr>
          <w:color w:val="auto"/>
        </w:rPr>
      </w:pPr>
      <w:r>
        <w:rPr>
          <w:rFonts w:hint="eastAsia"/>
          <w:color w:val="auto"/>
        </w:rPr>
        <w:t xml:space="preserve">    （9</w:t>
      </w:r>
      <w:r>
        <w:rPr>
          <w:color w:val="auto"/>
        </w:rPr>
        <w:t>）</w:t>
      </w:r>
      <w:r>
        <w:rPr>
          <w:rFonts w:hint="eastAsia"/>
          <w:color w:val="auto"/>
        </w:rPr>
        <w:t>单</w:t>
      </w:r>
      <w:r>
        <w:rPr>
          <w:color w:val="auto"/>
        </w:rPr>
        <w:t>位工程人材机汇总表（</w:t>
      </w:r>
      <w:r>
        <w:rPr>
          <w:rFonts w:hint="eastAsia"/>
          <w:color w:val="auto"/>
        </w:rPr>
        <w:t>常</w:t>
      </w:r>
      <w:r>
        <w:rPr>
          <w:color w:val="auto"/>
        </w:rPr>
        <w:t>用</w:t>
      </w:r>
      <w:r>
        <w:rPr>
          <w:rFonts w:hint="eastAsia"/>
          <w:color w:val="auto"/>
        </w:rPr>
        <w:t>-05</w:t>
      </w:r>
      <w:r>
        <w:rPr>
          <w:color w:val="auto"/>
        </w:rPr>
        <w:t>）</w:t>
      </w:r>
    </w:p>
    <w:p>
      <w:pPr>
        <w:pStyle w:val="7"/>
        <w:ind w:firstLine="420" w:firstLineChars="200"/>
      </w:pPr>
      <w:r>
        <w:rPr>
          <w:rFonts w:hint="eastAsia"/>
        </w:rPr>
        <w:t>（1</w:t>
      </w:r>
      <w:r>
        <w:t>0</w:t>
      </w:r>
      <w:r>
        <w:rPr>
          <w:rFonts w:hint="eastAsia"/>
        </w:rPr>
        <w:t>）主</w:t>
      </w:r>
      <w:r>
        <w:t>要材料选型表</w:t>
      </w:r>
    </w:p>
    <w:p>
      <w:pPr>
        <w:pStyle w:val="6"/>
        <w:ind w:left="210"/>
      </w:pPr>
      <w:r>
        <w:rPr>
          <w:rFonts w:hint="eastAsia"/>
        </w:rPr>
        <w:t>技术标主要包括下列内容：</w:t>
      </w:r>
    </w:p>
    <w:p>
      <w:pPr>
        <w:pStyle w:val="7"/>
        <w:ind w:firstLine="420" w:firstLineChars="200"/>
      </w:pPr>
      <w:r>
        <w:rPr>
          <w:rFonts w:hint="eastAsia"/>
        </w:rPr>
        <w:t>（1）施工组织设计</w:t>
      </w:r>
    </w:p>
    <w:p>
      <w:pPr>
        <w:pStyle w:val="8"/>
        <w:ind w:firstLine="420" w:firstLineChars="200"/>
        <w:rPr>
          <w:color w:val="auto"/>
        </w:rPr>
      </w:pPr>
      <w:r>
        <w:rPr>
          <w:rFonts w:hint="eastAsia"/>
          <w:color w:val="auto"/>
        </w:rPr>
        <w:t>需明确主要施工方法；工程投入的施工机械设备情况，主要施工机械进场计划；管理人员班组配备情况表及项目负责人简历表；确保工程质量、工期、文明施工、安全生产技术组织措施</w:t>
      </w:r>
    </w:p>
    <w:p>
      <w:pPr>
        <w:pStyle w:val="9"/>
        <w:rPr>
          <w:rFonts w:ascii="宋体" w:hAnsi="宋体"/>
          <w:snapToGrid/>
          <w:kern w:val="2"/>
          <w:sz w:val="21"/>
        </w:rPr>
      </w:pPr>
      <w:r>
        <w:rPr>
          <w:rFonts w:hint="eastAsia" w:ascii="宋体" w:hAnsi="宋体"/>
          <w:snapToGrid/>
          <w:kern w:val="2"/>
          <w:sz w:val="21"/>
        </w:rPr>
        <w:t xml:space="preserve">   （2）管理人员班组配备：项目负责人、施工员、安全员为必备人员。管理人员对拆除工程现场进行管理。拆除过程中管理人员不得擅自变更，不得擅自退场，如未经招标人书面同意擅自变更的，按变更管理人员每人壹仟元扣除违约金；擅自退场的，按每人壹仟元扣除违约金。</w:t>
      </w:r>
    </w:p>
    <w:p>
      <w:pPr>
        <w:pStyle w:val="10"/>
        <w:rPr>
          <w:rFonts w:ascii="宋体" w:hAnsi="宋体"/>
          <w:snapToGrid/>
          <w:kern w:val="2"/>
          <w:sz w:val="21"/>
        </w:rPr>
      </w:pPr>
      <w:r>
        <w:rPr>
          <w:rFonts w:hint="eastAsia" w:ascii="宋体" w:hAnsi="宋体"/>
          <w:snapToGrid/>
          <w:kern w:val="2"/>
          <w:sz w:val="21"/>
        </w:rPr>
        <w:t xml:space="preserve">    （3）投入的主要施工机械设备应根据招标人要求进场。任何一台主要施工机械设备不能按时进场，招标人将按壹仟元/台扣除违约金。在工程实施期间，未经招标人书面批准，乙方进场必用的施工机械不得撤离现场，否则招标人按壹仟元/台扣除违约金。</w:t>
      </w:r>
    </w:p>
    <w:p>
      <w:pPr>
        <w:pStyle w:val="8"/>
        <w:ind w:firstLine="420" w:firstLineChars="200"/>
        <w:rPr>
          <w:color w:val="auto"/>
        </w:rPr>
      </w:pPr>
      <w:r>
        <w:rPr>
          <w:color w:val="auto"/>
        </w:rPr>
        <w:t>安全防护、文明施工措施</w:t>
      </w:r>
      <w:r>
        <w:rPr>
          <w:rFonts w:hint="eastAsia"/>
          <w:color w:val="auto"/>
        </w:rPr>
        <w:t>；此部分内容投标单位应当参照</w:t>
      </w:r>
      <w:r>
        <w:rPr>
          <w:color w:val="auto"/>
        </w:rPr>
        <w:t>建办[2005]89号</w:t>
      </w:r>
      <w:r>
        <w:rPr>
          <w:rFonts w:hint="eastAsia"/>
          <w:color w:val="auto"/>
        </w:rPr>
        <w:t>《</w:t>
      </w:r>
      <w:r>
        <w:rPr>
          <w:color w:val="auto"/>
        </w:rPr>
        <w:t>建筑工程安全防护、文明施工措施费用及使用管理规定</w:t>
      </w:r>
      <w:r>
        <w:rPr>
          <w:rFonts w:hint="eastAsia"/>
          <w:color w:val="auto"/>
        </w:rPr>
        <w:t>》及</w:t>
      </w:r>
      <w:r>
        <w:rPr>
          <w:color w:val="auto"/>
        </w:rPr>
        <w:t>京建施[2005]802号</w:t>
      </w:r>
      <w:r>
        <w:rPr>
          <w:rFonts w:hint="eastAsia"/>
          <w:color w:val="auto"/>
        </w:rPr>
        <w:t>文</w:t>
      </w:r>
      <w:r>
        <w:rPr>
          <w:color w:val="auto"/>
        </w:rPr>
        <w:t>关于转发《建筑工程安全防护、文明施工措施费用及使用管理规定》的通知</w:t>
      </w:r>
      <w:r>
        <w:rPr>
          <w:rFonts w:hint="eastAsia"/>
          <w:color w:val="auto"/>
        </w:rPr>
        <w:t>在投标文件中单独分章，详细编写。</w:t>
      </w:r>
    </w:p>
    <w:p>
      <w:pPr>
        <w:pStyle w:val="5"/>
      </w:pPr>
      <w:r>
        <w:rPr>
          <w:rFonts w:hint="eastAsia"/>
        </w:rPr>
        <w:t>投标文件格式</w:t>
      </w:r>
    </w:p>
    <w:p>
      <w:pPr>
        <w:pStyle w:val="6"/>
        <w:ind w:left="21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left="21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left="21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left="21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left="21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ind w:left="210"/>
      </w:pPr>
      <w:r>
        <w:rPr>
          <w:rFonts w:hint="eastAsia"/>
        </w:rPr>
        <w:t>本工程投标报价采用的币种为人民币。</w:t>
      </w:r>
    </w:p>
    <w:p>
      <w:pPr>
        <w:pStyle w:val="5"/>
      </w:pPr>
      <w:r>
        <w:rPr>
          <w:rFonts w:hint="eastAsia"/>
        </w:rPr>
        <w:t>投标文件的份数和签署</w:t>
      </w:r>
    </w:p>
    <w:p>
      <w:pPr>
        <w:pStyle w:val="6"/>
        <w:ind w:left="210"/>
      </w:pPr>
      <w:r>
        <w:rPr>
          <w:rFonts w:hint="eastAsia"/>
        </w:rPr>
        <w:t>投标人应按本须知前附表第 13项规定的份数提交投标文件。</w:t>
      </w:r>
    </w:p>
    <w:p>
      <w:pPr>
        <w:pStyle w:val="6"/>
        <w:ind w:left="21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left="21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left="21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left="21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left="210"/>
      </w:pPr>
      <w:r>
        <w:rPr>
          <w:rFonts w:hint="eastAsia"/>
        </w:rPr>
        <w:t>投标文件的截止时间见本须知前附表第</w:t>
      </w:r>
      <w:r>
        <w:t>14</w:t>
      </w:r>
      <w:r>
        <w:rPr>
          <w:rFonts w:hint="eastAsia"/>
        </w:rPr>
        <w:t>项规定。</w:t>
      </w:r>
    </w:p>
    <w:p>
      <w:pPr>
        <w:pStyle w:val="6"/>
        <w:ind w:left="21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left="210"/>
      </w:pPr>
      <w:r>
        <w:rPr>
          <w:rFonts w:hint="eastAsia"/>
        </w:rPr>
        <w:t>到投标截止时间 止，招标人收到的投标文件少于3个的，招标人将依法重新组织招标。</w:t>
      </w:r>
    </w:p>
    <w:p>
      <w:pPr>
        <w:pStyle w:val="5"/>
      </w:pPr>
      <w:r>
        <w:rPr>
          <w:rFonts w:hint="eastAsia"/>
        </w:rPr>
        <w:t>迟交的投标文件</w:t>
      </w:r>
    </w:p>
    <w:p>
      <w:pPr>
        <w:pStyle w:val="6"/>
        <w:ind w:left="21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left="21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left="21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left="210"/>
      </w:pPr>
      <w:r>
        <w:rPr>
          <w:rFonts w:hint="eastAsia"/>
        </w:rPr>
        <w:t>在投标截止时间之后，投标人不得补充、修改投标文件。</w:t>
      </w:r>
    </w:p>
    <w:p>
      <w:pPr>
        <w:pStyle w:val="6"/>
        <w:ind w:left="210"/>
      </w:pPr>
      <w:r>
        <w:rPr>
          <w:rFonts w:hint="eastAsia"/>
        </w:rPr>
        <w:t>在投标截止时间至投标有效期满之前，投标人不得撤回其投标文件，否则其投标保证金将被没收。</w:t>
      </w:r>
    </w:p>
    <w:p>
      <w:pPr>
        <w:ind w:firstLine="0" w:firstLineChars="0"/>
      </w:pPr>
    </w:p>
    <w:p>
      <w:pPr>
        <w:pStyle w:val="4"/>
      </w:pPr>
      <w:bookmarkStart w:id="10" w:name="_Toc395611384"/>
      <w:r>
        <w:rPr>
          <w:rFonts w:hint="eastAsia"/>
        </w:rPr>
        <w:t>开标</w:t>
      </w:r>
      <w:bookmarkEnd w:id="10"/>
    </w:p>
    <w:p>
      <w:pPr>
        <w:pStyle w:val="5"/>
      </w:pPr>
      <w:r>
        <w:rPr>
          <w:rFonts w:hint="eastAsia"/>
        </w:rPr>
        <w:t>开标</w:t>
      </w:r>
    </w:p>
    <w:p>
      <w:pPr>
        <w:pStyle w:val="6"/>
        <w:ind w:left="210"/>
      </w:pPr>
      <w:r>
        <w:rPr>
          <w:rFonts w:hint="eastAsia"/>
        </w:rPr>
        <w:t>招标人按本须知前附表第15项所规定的时间和地点公开开标，并邀请合格投标人参加。</w:t>
      </w:r>
    </w:p>
    <w:p>
      <w:pPr>
        <w:pStyle w:val="6"/>
        <w:ind w:left="21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left="21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left="21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left="21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left="21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ind w:left="210"/>
      </w:pPr>
      <w:r>
        <w:rPr>
          <w:rFonts w:hint="eastAsia"/>
        </w:rPr>
        <w:t>评标委员会由招标人依法组建，负责评标活动。</w:t>
      </w:r>
    </w:p>
    <w:p>
      <w:pPr>
        <w:pStyle w:val="6"/>
        <w:ind w:left="210"/>
      </w:pPr>
      <w:r>
        <w:rPr>
          <w:rFonts w:hint="eastAsia"/>
        </w:rPr>
        <w:t>开标结束后，开始评标，评标按有关规定进行。</w:t>
      </w:r>
    </w:p>
    <w:p>
      <w:pPr>
        <w:pStyle w:val="5"/>
      </w:pPr>
      <w:r>
        <w:rPr>
          <w:rFonts w:hint="eastAsia"/>
        </w:rPr>
        <w:t>评标过程的保密</w:t>
      </w:r>
    </w:p>
    <w:p>
      <w:pPr>
        <w:pStyle w:val="6"/>
        <w:ind w:left="210"/>
      </w:pPr>
      <w:r>
        <w:rPr>
          <w:rFonts w:hint="eastAsia"/>
        </w:rPr>
        <w:t>开标后，直至授予中标人合同为止，凡属于对投标文件的审查、澄清、评价和比较的有关资料以及中标候选人的推荐情况，与评标有关的其他任何情况均严格保密。</w:t>
      </w:r>
    </w:p>
    <w:p>
      <w:pPr>
        <w:pStyle w:val="6"/>
        <w:ind w:left="210"/>
      </w:pPr>
      <w:r>
        <w:rPr>
          <w:rFonts w:hint="eastAsia"/>
        </w:rPr>
        <w:t>在投标文件的评审和比较、中标候选人推荐以及授予合同的过程中，投标人向招标人和评标委员会施加影响的任何行为，都将会导致其投标被拒绝。</w:t>
      </w:r>
    </w:p>
    <w:p>
      <w:pPr>
        <w:pStyle w:val="6"/>
        <w:ind w:left="21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left="21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left="210"/>
      </w:pPr>
      <w:r>
        <w:rPr>
          <w:rFonts w:hint="eastAsia"/>
        </w:rPr>
        <w:t>开标后，经招标人审查符合本须知第</w:t>
      </w:r>
      <w:r>
        <w:t>22</w:t>
      </w:r>
      <w:r>
        <w:rPr>
          <w:rFonts w:hint="eastAsia"/>
        </w:rPr>
        <w:t>条有关规定的投标文件，才能提交评标委员会进行评审。</w:t>
      </w:r>
    </w:p>
    <w:p>
      <w:pPr>
        <w:pStyle w:val="6"/>
        <w:ind w:left="21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left="21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left="21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left="21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left="210"/>
      </w:pPr>
      <w:r>
        <w:rPr>
          <w:rFonts w:hint="eastAsia"/>
        </w:rPr>
        <w:t>评标委员会将按照本须知第31条规定，仅对在实质上响应招标文件要求的投标文件进行评估和比较。</w:t>
      </w:r>
    </w:p>
    <w:p>
      <w:pPr>
        <w:pStyle w:val="6"/>
        <w:ind w:left="210"/>
      </w:pPr>
      <w:r>
        <w:rPr>
          <w:rFonts w:hint="eastAsia"/>
        </w:rPr>
        <w:t>在评审过程中,评标委员会可以书面形式要求投标人就投标文件中含义不明确的内容进行书面说明并提供相关材料。</w:t>
      </w:r>
    </w:p>
    <w:p>
      <w:pPr>
        <w:pStyle w:val="6"/>
        <w:ind w:left="21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left="210"/>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ind w:left="21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left="21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left="210"/>
      </w:pPr>
      <w:r>
        <w:rPr>
          <w:rFonts w:hint="eastAsia"/>
        </w:rPr>
        <w:t>招标人根据有关规定对拟中标人进行公告，并同时</w:t>
      </w:r>
      <w:r>
        <w:t>发出</w:t>
      </w:r>
      <w:r>
        <w:rPr>
          <w:rFonts w:hint="eastAsia"/>
        </w:rPr>
        <w:t>中标通知书。</w:t>
      </w:r>
    </w:p>
    <w:p>
      <w:pPr>
        <w:pStyle w:val="6"/>
        <w:ind w:left="21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left="210"/>
      </w:pPr>
      <w:r>
        <w:rPr>
          <w:rFonts w:hint="eastAsia"/>
        </w:rPr>
        <w:t>招标人与中标人将于中标通知书发出之日起30日内，按照招标文件和中标人的投标文件订立书面工程施工合同。</w:t>
      </w:r>
    </w:p>
    <w:p>
      <w:pPr>
        <w:pStyle w:val="6"/>
        <w:ind w:left="210"/>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pStyle w:val="32"/>
        <w:spacing w:before="0" w:beforeAutospacing="0" w:after="0" w:afterAutospacing="0"/>
        <w:ind w:firstLine="361"/>
        <w:jc w:val="center"/>
        <w:rPr>
          <w:b/>
          <w:bCs/>
          <w:szCs w:val="21"/>
        </w:rPr>
      </w:pPr>
      <w:r>
        <w:rPr>
          <w:rFonts w:hint="eastAsia"/>
          <w:b/>
          <w:bCs/>
          <w:sz w:val="18"/>
          <w:szCs w:val="18"/>
        </w:rPr>
        <w:t xml:space="preserve">                         </w:t>
      </w: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u w:val="single"/>
        </w:rPr>
        <w:t xml:space="preserve">            </w:t>
      </w:r>
      <w:r>
        <w:rPr>
          <w:rFonts w:hint="eastAsia"/>
          <w:u w:val="single"/>
        </w:rPr>
        <w:t>元</w:t>
      </w:r>
      <w:r>
        <w:rPr>
          <w:rFonts w:hint="eastAsia"/>
        </w:rPr>
        <w:t>）的投标报价，其中安全防护、文明施工措施费</w:t>
      </w:r>
      <w:r>
        <w:rPr>
          <w:rFonts w:hint="eastAsia"/>
          <w:u w:val="single"/>
        </w:rPr>
        <w:t xml:space="preserve">            </w:t>
      </w:r>
      <w:r>
        <w:rPr>
          <w:rFonts w:hint="eastAsia"/>
        </w:rPr>
        <w:t>元，其</w:t>
      </w:r>
      <w:r>
        <w:t>中</w:t>
      </w:r>
      <w:r>
        <w:rPr>
          <w:rFonts w:hint="eastAsia"/>
        </w:rPr>
        <w:t>渣</w:t>
      </w:r>
      <w:r>
        <w:t>土</w:t>
      </w:r>
      <w:r>
        <w:rPr>
          <w:rFonts w:hint="eastAsia"/>
        </w:rPr>
        <w:t>外</w:t>
      </w:r>
      <w:r>
        <w:t>运及消纳</w:t>
      </w:r>
      <w:r>
        <w:rPr>
          <w:rFonts w:hint="eastAsia"/>
          <w:u w:val="single"/>
        </w:rPr>
        <w:t xml:space="preserve">            </w:t>
      </w:r>
      <w:r>
        <w:rPr>
          <w:rFonts w:hint="eastAsia"/>
        </w:rPr>
        <w:t>元</w:t>
      </w:r>
      <w:r>
        <w:t>，</w:t>
      </w:r>
      <w:r>
        <w:rPr>
          <w:rFonts w:hint="eastAsia"/>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九、招标控制价</w:t>
      </w:r>
    </w:p>
    <w:p>
      <w:pPr>
        <w:ind w:firstLine="422"/>
        <w:rPr>
          <w:rFonts w:ascii="宋体" w:hAnsi="宋体"/>
          <w:b/>
          <w:bCs/>
          <w:color w:val="C00000"/>
          <w:szCs w:val="21"/>
        </w:rPr>
      </w:pPr>
      <w:r>
        <w:rPr>
          <w:rFonts w:hint="eastAsia" w:ascii="宋体" w:hAnsi="宋体"/>
          <w:b/>
          <w:bCs/>
          <w:color w:val="C00000"/>
          <w:szCs w:val="21"/>
        </w:rPr>
        <w:t>本工程招标控制价为</w:t>
      </w:r>
      <w:r>
        <w:rPr>
          <w:rFonts w:ascii="宋体" w:hAnsi="宋体" w:eastAsia="宋体" w:cs="宋体"/>
          <w:sz w:val="24"/>
          <w:szCs w:val="24"/>
        </w:rPr>
        <w:t>291,543.35</w:t>
      </w:r>
      <w:bookmarkStart w:id="22" w:name="_GoBack"/>
      <w:bookmarkEnd w:id="22"/>
      <w:r>
        <w:rPr>
          <w:rFonts w:hint="eastAsia" w:ascii="宋体" w:hAnsi="宋体"/>
          <w:b/>
          <w:bCs/>
          <w:color w:val="C00000"/>
          <w:szCs w:val="21"/>
        </w:rPr>
        <w:t>元</w:t>
      </w:r>
    </w:p>
    <w:p>
      <w:pPr>
        <w:ind w:firstLine="420"/>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5"/>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6"/>
        </w:numPr>
        <w:ind w:left="0" w:firstLine="371" w:firstLineChars="177"/>
        <w:jc w:val="left"/>
        <w:rPr>
          <w:rFonts w:ascii="宋体" w:hAnsi="宋体"/>
          <w:szCs w:val="21"/>
        </w:rPr>
      </w:pPr>
      <w:r>
        <w:rPr>
          <w:rFonts w:ascii="宋体" w:hAnsi="宋体"/>
          <w:szCs w:val="21"/>
        </w:rPr>
        <w:t>全文采用MICROSOFT——WORD2007版本打印；</w:t>
      </w:r>
    </w:p>
    <w:p>
      <w:pPr>
        <w:numPr>
          <w:ilvl w:val="0"/>
          <w:numId w:val="6"/>
        </w:numPr>
        <w:ind w:left="0" w:firstLine="371" w:firstLineChars="177"/>
        <w:jc w:val="left"/>
        <w:rPr>
          <w:rFonts w:ascii="宋体" w:hAnsi="宋体"/>
          <w:szCs w:val="21"/>
        </w:rPr>
      </w:pPr>
      <w:r>
        <w:rPr>
          <w:rFonts w:ascii="宋体" w:hAnsi="宋体"/>
          <w:szCs w:val="21"/>
        </w:rPr>
        <w:t>纸张：A4白色复印纸（70g）；</w:t>
      </w:r>
    </w:p>
    <w:p>
      <w:pPr>
        <w:numPr>
          <w:ilvl w:val="0"/>
          <w:numId w:val="6"/>
        </w:numPr>
        <w:ind w:left="0" w:firstLine="371" w:firstLineChars="177"/>
        <w:jc w:val="left"/>
        <w:rPr>
          <w:rFonts w:ascii="宋体" w:hAnsi="宋体"/>
          <w:szCs w:val="21"/>
        </w:rPr>
      </w:pPr>
      <w:r>
        <w:rPr>
          <w:rFonts w:ascii="宋体" w:hAnsi="宋体"/>
          <w:szCs w:val="21"/>
        </w:rPr>
        <w:t>字体：宋体；</w:t>
      </w:r>
    </w:p>
    <w:p>
      <w:pPr>
        <w:numPr>
          <w:ilvl w:val="0"/>
          <w:numId w:val="6"/>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6"/>
        </w:numPr>
        <w:ind w:left="0" w:firstLine="371" w:firstLineChars="177"/>
        <w:jc w:val="left"/>
        <w:rPr>
          <w:rFonts w:ascii="宋体" w:hAnsi="宋体"/>
          <w:szCs w:val="21"/>
        </w:rPr>
      </w:pPr>
      <w:r>
        <w:rPr>
          <w:rFonts w:ascii="宋体" w:hAnsi="宋体"/>
          <w:szCs w:val="21"/>
        </w:rPr>
        <w:t>行距：固定值22磅；</w:t>
      </w:r>
    </w:p>
    <w:p>
      <w:pPr>
        <w:numPr>
          <w:ilvl w:val="0"/>
          <w:numId w:val="6"/>
        </w:numPr>
        <w:ind w:left="0" w:firstLine="371" w:firstLineChars="177"/>
        <w:jc w:val="left"/>
        <w:rPr>
          <w:rFonts w:ascii="宋体" w:hAnsi="宋体"/>
          <w:szCs w:val="21"/>
        </w:rPr>
      </w:pPr>
      <w:r>
        <w:rPr>
          <w:rFonts w:ascii="宋体" w:hAnsi="宋体"/>
          <w:szCs w:val="21"/>
        </w:rPr>
        <w:t>页边距：上2.5厘米，其余均为2厘米；</w:t>
      </w:r>
    </w:p>
    <w:p>
      <w:pPr>
        <w:numPr>
          <w:ilvl w:val="0"/>
          <w:numId w:val="6"/>
        </w:numPr>
        <w:ind w:left="0" w:firstLine="371" w:firstLineChars="177"/>
        <w:jc w:val="left"/>
        <w:rPr>
          <w:rFonts w:ascii="宋体" w:hAnsi="宋体"/>
          <w:szCs w:val="21"/>
        </w:rPr>
      </w:pPr>
      <w:r>
        <w:rPr>
          <w:rFonts w:ascii="宋体" w:hAnsi="宋体"/>
          <w:szCs w:val="21"/>
        </w:rPr>
        <w:t>包括图表，不允许使用彩色打印；</w:t>
      </w:r>
    </w:p>
    <w:p>
      <w:pPr>
        <w:numPr>
          <w:ilvl w:val="0"/>
          <w:numId w:val="6"/>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6"/>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6"/>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6"/>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54"/>
        <w:ind w:firstLine="0" w:firstLineChars="0"/>
      </w:pPr>
      <w:r>
        <w:rPr>
          <w:rFonts w:hint="eastAsia"/>
        </w:rPr>
        <w:t>第一条.本办法为</w:t>
      </w:r>
      <w:r>
        <w:rPr>
          <w:rFonts w:hint="eastAsia"/>
          <w:b/>
          <w:szCs w:val="21"/>
          <w:u w:val="single"/>
        </w:rPr>
        <w:t>北京清华长庚医院二期用地发热肠道门诊拆除工程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7"/>
        </w:numPr>
        <w:ind w:firstLineChars="0"/>
      </w:pPr>
      <w:r>
        <w:rPr>
          <w:rFonts w:hint="eastAsia"/>
        </w:rPr>
        <w:t>公开、公平、公正和诚实信用的原则。</w:t>
      </w:r>
    </w:p>
    <w:p>
      <w:pPr>
        <w:pStyle w:val="54"/>
        <w:numPr>
          <w:ilvl w:val="0"/>
          <w:numId w:val="7"/>
        </w:numPr>
        <w:ind w:firstLineChars="0"/>
      </w:pPr>
      <w:r>
        <w:rPr>
          <w:rFonts w:hint="eastAsia"/>
        </w:rPr>
        <w:t>科学、合理、择优评标原则。</w:t>
      </w:r>
    </w:p>
    <w:p>
      <w:pPr>
        <w:pStyle w:val="54"/>
        <w:numPr>
          <w:ilvl w:val="0"/>
          <w:numId w:val="7"/>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附件一：技术评审记录表（40分）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088"/>
        <w:gridCol w:w="567"/>
        <w:gridCol w:w="4654"/>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ind w:firstLine="129"/>
              <w:rPr>
                <w:szCs w:val="21"/>
              </w:rPr>
            </w:pPr>
            <w:r>
              <w:rPr>
                <w:rFonts w:hint="eastAsia"/>
                <w:szCs w:val="21"/>
              </w:rPr>
              <w:t>序号</w:t>
            </w:r>
          </w:p>
        </w:tc>
        <w:tc>
          <w:tcPr>
            <w:tcW w:w="1088" w:type="dxa"/>
            <w:tcBorders>
              <w:top w:val="single" w:color="auto" w:sz="12" w:space="0"/>
              <w:bottom w:val="single" w:color="auto" w:sz="12" w:space="0"/>
            </w:tcBorders>
            <w:vAlign w:val="center"/>
          </w:tcPr>
          <w:p>
            <w:pPr>
              <w:pStyle w:val="58"/>
              <w:ind w:firstLine="129"/>
              <w:rPr>
                <w:szCs w:val="21"/>
              </w:rPr>
            </w:pPr>
            <w:r>
              <w:rPr>
                <w:rFonts w:hint="eastAsia"/>
                <w:szCs w:val="21"/>
              </w:rPr>
              <w:t>项目</w:t>
            </w:r>
          </w:p>
        </w:tc>
        <w:tc>
          <w:tcPr>
            <w:tcW w:w="567" w:type="dxa"/>
            <w:tcBorders>
              <w:top w:val="single" w:color="auto" w:sz="12" w:space="0"/>
              <w:bottom w:val="single" w:color="auto" w:sz="12" w:space="0"/>
            </w:tcBorders>
            <w:vAlign w:val="center"/>
          </w:tcPr>
          <w:p>
            <w:pPr>
              <w:pStyle w:val="58"/>
              <w:ind w:firstLine="129"/>
              <w:rPr>
                <w:szCs w:val="21"/>
              </w:rPr>
            </w:pPr>
            <w:r>
              <w:rPr>
                <w:rFonts w:hint="eastAsia"/>
                <w:szCs w:val="21"/>
              </w:rPr>
              <w:t>标准分</w:t>
            </w:r>
          </w:p>
        </w:tc>
        <w:tc>
          <w:tcPr>
            <w:tcW w:w="4654" w:type="dxa"/>
            <w:tcBorders>
              <w:top w:val="single" w:color="auto" w:sz="12" w:space="0"/>
              <w:bottom w:val="single" w:color="auto" w:sz="12" w:space="0"/>
            </w:tcBorders>
            <w:vAlign w:val="center"/>
          </w:tcPr>
          <w:p>
            <w:pPr>
              <w:pStyle w:val="58"/>
              <w:ind w:firstLine="129"/>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58"/>
              <w:ind w:firstLine="129"/>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58"/>
              <w:ind w:firstLine="129"/>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58"/>
              <w:ind w:firstLine="129"/>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58"/>
              <w:ind w:firstLine="129"/>
              <w:rPr>
                <w:szCs w:val="21"/>
              </w:rPr>
            </w:pPr>
            <w:r>
              <w:rPr>
                <w:rFonts w:ascii="Arial" w:hAnsi="Arial" w:cs="Arial"/>
                <w:bCs/>
                <w:szCs w:val="21"/>
              </w:rPr>
              <w:t>3</w:t>
            </w:r>
          </w:p>
        </w:tc>
        <w:tc>
          <w:tcPr>
            <w:tcW w:w="709" w:type="dxa"/>
            <w:tcBorders>
              <w:top w:val="single" w:color="auto" w:sz="12" w:space="0"/>
              <w:bottom w:val="single" w:color="auto" w:sz="12" w:space="0"/>
            </w:tcBorders>
            <w:vAlign w:val="center"/>
          </w:tcPr>
          <w:p>
            <w:pPr>
              <w:pStyle w:val="58"/>
              <w:ind w:firstLine="129"/>
              <w:rPr>
                <w:rFonts w:ascii="Arial" w:hAnsi="Arial" w:cs="Arial"/>
                <w:bCs/>
                <w:szCs w:val="21"/>
              </w:rPr>
            </w:pPr>
            <w:r>
              <w:rPr>
                <w:rFonts w:hint="eastAsia" w:ascii="Arial" w:hAnsi="Arial" w:cs="Arial"/>
                <w:bCs/>
                <w:szCs w:val="21"/>
              </w:rPr>
              <w:t>4</w:t>
            </w:r>
          </w:p>
        </w:tc>
        <w:tc>
          <w:tcPr>
            <w:tcW w:w="708" w:type="dxa"/>
            <w:tcBorders>
              <w:top w:val="single" w:color="auto" w:sz="12" w:space="0"/>
              <w:bottom w:val="single" w:color="auto" w:sz="12" w:space="0"/>
            </w:tcBorders>
            <w:vAlign w:val="center"/>
          </w:tcPr>
          <w:p>
            <w:pPr>
              <w:pStyle w:val="58"/>
              <w:ind w:firstLine="129"/>
              <w:rPr>
                <w:rFonts w:ascii="Arial" w:hAnsi="Arial" w:cs="Arial"/>
                <w:bCs/>
                <w:szCs w:val="21"/>
              </w:rPr>
            </w:pPr>
            <w:r>
              <w:rPr>
                <w:rFonts w:ascii="Arial" w:hAnsi="Arial" w:cs="Arial"/>
                <w:bCs/>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rFonts w:hint="eastAsia"/>
                <w:szCs w:val="21"/>
              </w:rPr>
              <w:t>1</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资</w:t>
            </w:r>
            <w:r>
              <w:rPr>
                <w:szCs w:val="21"/>
              </w:rPr>
              <w:t>格评审</w:t>
            </w:r>
          </w:p>
        </w:tc>
        <w:tc>
          <w:tcPr>
            <w:tcW w:w="567" w:type="dxa"/>
            <w:vMerge w:val="restart"/>
            <w:tcBorders>
              <w:top w:val="single" w:color="auto" w:sz="12" w:space="0"/>
              <w:bottom w:val="single" w:color="auto" w:sz="6" w:space="0"/>
            </w:tcBorders>
            <w:vAlign w:val="center"/>
          </w:tcPr>
          <w:p>
            <w:pPr>
              <w:pStyle w:val="55"/>
              <w:ind w:firstLine="420"/>
              <w:jc w:val="center"/>
              <w:rPr>
                <w:szCs w:val="21"/>
              </w:rPr>
            </w:pPr>
            <w:r>
              <w:rPr>
                <w:szCs w:val="21"/>
              </w:rPr>
              <w:t>/</w:t>
            </w:r>
            <w:r>
              <w:rPr>
                <w:rFonts w:hint="eastAsia"/>
                <w:szCs w:val="21"/>
              </w:rPr>
              <w:t>/</w:t>
            </w:r>
          </w:p>
        </w:tc>
        <w:tc>
          <w:tcPr>
            <w:tcW w:w="4654" w:type="dxa"/>
            <w:tcBorders>
              <w:top w:val="single" w:color="auto" w:sz="12" w:space="0"/>
              <w:bottom w:val="single" w:color="auto" w:sz="6" w:space="0"/>
            </w:tcBorders>
            <w:vAlign w:val="center"/>
          </w:tcPr>
          <w:p>
            <w:pPr>
              <w:pStyle w:val="55"/>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55"/>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8" w:type="dxa"/>
            <w:tcBorders>
              <w:top w:val="single" w:color="auto" w:sz="12" w:space="0"/>
              <w:bottom w:val="single" w:color="auto" w:sz="6"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420"/>
              <w:jc w:val="center"/>
              <w:rPr>
                <w:szCs w:val="21"/>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55"/>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8" w:type="dxa"/>
            <w:tcBorders>
              <w:top w:val="single" w:color="auto" w:sz="6" w:space="0"/>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szCs w:val="21"/>
              </w:rPr>
              <w:t>2</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对</w:t>
            </w:r>
            <w:r>
              <w:rPr>
                <w:szCs w:val="21"/>
              </w:rPr>
              <w:t>招标文件</w:t>
            </w:r>
            <w:r>
              <w:rPr>
                <w:rFonts w:hint="eastAsia"/>
                <w:szCs w:val="21"/>
              </w:rPr>
              <w:t>的</w:t>
            </w:r>
            <w:r>
              <w:rPr>
                <w:szCs w:val="21"/>
              </w:rPr>
              <w:t>响应</w:t>
            </w:r>
          </w:p>
        </w:tc>
        <w:tc>
          <w:tcPr>
            <w:tcW w:w="567" w:type="dxa"/>
            <w:vMerge w:val="restart"/>
            <w:tcBorders>
              <w:top w:val="single" w:color="auto" w:sz="12" w:space="0"/>
              <w:bottom w:val="single" w:color="auto" w:sz="6" w:space="0"/>
            </w:tcBorders>
            <w:vAlign w:val="center"/>
          </w:tcPr>
          <w:p>
            <w:pPr>
              <w:pStyle w:val="55"/>
              <w:rPr>
                <w:sz w:val="15"/>
                <w:szCs w:val="15"/>
              </w:rPr>
            </w:pPr>
            <w:r>
              <w:rPr>
                <w:rFonts w:hint="eastAsia"/>
                <w:sz w:val="15"/>
                <w:szCs w:val="15"/>
              </w:rPr>
              <w:t>4分</w:t>
            </w:r>
          </w:p>
        </w:tc>
        <w:tc>
          <w:tcPr>
            <w:tcW w:w="4654" w:type="dxa"/>
            <w:tcBorders>
              <w:top w:val="single" w:color="auto" w:sz="12" w:space="0"/>
              <w:bottom w:val="single" w:color="auto" w:sz="6" w:space="0"/>
            </w:tcBorders>
            <w:vAlign w:val="center"/>
          </w:tcPr>
          <w:p>
            <w:pPr>
              <w:pStyle w:val="55"/>
              <w:rPr>
                <w:szCs w:val="21"/>
              </w:rPr>
            </w:pPr>
            <w:r>
              <w:rPr>
                <w:rFonts w:hint="eastAsia"/>
                <w:szCs w:val="21"/>
              </w:rPr>
              <w:t>投</w:t>
            </w:r>
            <w:r>
              <w:rPr>
                <w:szCs w:val="21"/>
              </w:rPr>
              <w:t>标文件技术要求响应招标文件要求，无重大偏差</w:t>
            </w:r>
          </w:p>
        </w:tc>
        <w:tc>
          <w:tcPr>
            <w:tcW w:w="934" w:type="dxa"/>
            <w:tcBorders>
              <w:top w:val="single" w:color="auto" w:sz="12" w:space="0"/>
              <w:bottom w:val="single" w:color="auto" w:sz="6" w:space="0"/>
            </w:tcBorders>
            <w:vAlign w:val="center"/>
          </w:tcPr>
          <w:p>
            <w:pPr>
              <w:pStyle w:val="55"/>
              <w:rPr>
                <w:szCs w:val="21"/>
              </w:rPr>
            </w:pPr>
            <w:r>
              <w:rPr>
                <w:rFonts w:hint="eastAsia"/>
                <w:szCs w:val="21"/>
              </w:rPr>
              <w:t>3~4</w:t>
            </w:r>
            <w:r>
              <w:rPr>
                <w:szCs w:val="21"/>
              </w:rPr>
              <w:t>分</w:t>
            </w:r>
          </w:p>
        </w:tc>
        <w:tc>
          <w:tcPr>
            <w:tcW w:w="696"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8" w:type="dxa"/>
            <w:vMerge w:val="restart"/>
            <w:tcBorders>
              <w:top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300"/>
              <w:jc w:val="center"/>
              <w:rPr>
                <w:sz w:val="15"/>
                <w:szCs w:val="15"/>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投</w:t>
            </w:r>
            <w:r>
              <w:rPr>
                <w:szCs w:val="21"/>
              </w:rPr>
              <w:t>标文件技术要求与招标文件要求</w:t>
            </w:r>
            <w:r>
              <w:rPr>
                <w:rFonts w:hint="eastAsia"/>
                <w:szCs w:val="21"/>
              </w:rPr>
              <w:t>存在</w:t>
            </w:r>
            <w:r>
              <w:rPr>
                <w:szCs w:val="21"/>
              </w:rPr>
              <w:t>重大偏差</w:t>
            </w:r>
          </w:p>
        </w:tc>
        <w:tc>
          <w:tcPr>
            <w:tcW w:w="934" w:type="dxa"/>
            <w:tcBorders>
              <w:top w:val="single" w:color="auto" w:sz="6" w:space="0"/>
              <w:bottom w:val="single" w:color="auto" w:sz="12" w:space="0"/>
            </w:tcBorders>
            <w:vAlign w:val="center"/>
          </w:tcPr>
          <w:p>
            <w:pPr>
              <w:pStyle w:val="55"/>
              <w:rPr>
                <w:szCs w:val="21"/>
              </w:rPr>
            </w:pPr>
            <w:r>
              <w:rPr>
                <w:rFonts w:hint="eastAsia"/>
                <w:szCs w:val="21"/>
              </w:rPr>
              <w:t>0</w:t>
            </w:r>
            <w:r>
              <w:rPr>
                <w:szCs w:val="21"/>
              </w:rPr>
              <w:t>~2分</w:t>
            </w:r>
          </w:p>
        </w:tc>
        <w:tc>
          <w:tcPr>
            <w:tcW w:w="696"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8" w:type="dxa"/>
            <w:vMerge w:val="continue"/>
            <w:tcBorders>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rFonts w:hint="eastAsia"/>
                <w:szCs w:val="21"/>
              </w:rPr>
              <w:t>3</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技术方案</w:t>
            </w:r>
          </w:p>
        </w:tc>
        <w:tc>
          <w:tcPr>
            <w:tcW w:w="567" w:type="dxa"/>
            <w:vMerge w:val="restart"/>
            <w:tcBorders>
              <w:top w:val="single" w:color="auto" w:sz="12" w:space="0"/>
              <w:bottom w:val="single" w:color="auto" w:sz="6" w:space="0"/>
            </w:tcBorders>
            <w:vAlign w:val="center"/>
          </w:tcPr>
          <w:p>
            <w:pPr>
              <w:pStyle w:val="55"/>
              <w:rPr>
                <w:sz w:val="15"/>
                <w:szCs w:val="15"/>
              </w:rPr>
            </w:pPr>
            <w:r>
              <w:rPr>
                <w:sz w:val="15"/>
                <w:szCs w:val="15"/>
              </w:rPr>
              <w:t>5分</w:t>
            </w:r>
          </w:p>
        </w:tc>
        <w:tc>
          <w:tcPr>
            <w:tcW w:w="4654" w:type="dxa"/>
            <w:tcBorders>
              <w:top w:val="single" w:color="auto" w:sz="12" w:space="0"/>
              <w:bottom w:val="single" w:color="auto" w:sz="6" w:space="0"/>
            </w:tcBorders>
            <w:vAlign w:val="center"/>
          </w:tcPr>
          <w:p>
            <w:pPr>
              <w:pStyle w:val="55"/>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w:t>
            </w:r>
            <w:r>
              <w:rPr>
                <w:rFonts w:hint="eastAsia"/>
                <w:szCs w:val="21"/>
              </w:rPr>
              <w:t>清晰。</w:t>
            </w:r>
            <w:r>
              <w:rPr>
                <w:szCs w:val="21"/>
              </w:rPr>
              <w:t xml:space="preserve"> </w:t>
            </w:r>
          </w:p>
        </w:tc>
        <w:tc>
          <w:tcPr>
            <w:tcW w:w="934" w:type="dxa"/>
            <w:tcBorders>
              <w:top w:val="single" w:color="auto" w:sz="12" w:space="0"/>
              <w:bottom w:val="single" w:color="auto" w:sz="6" w:space="0"/>
            </w:tcBorders>
            <w:vAlign w:val="center"/>
          </w:tcPr>
          <w:p>
            <w:pPr>
              <w:pStyle w:val="55"/>
              <w:rPr>
                <w:szCs w:val="21"/>
              </w:rPr>
            </w:pPr>
            <w:r>
              <w:rPr>
                <w:szCs w:val="21"/>
              </w:rPr>
              <w:t>5分</w:t>
            </w:r>
          </w:p>
        </w:tc>
        <w:tc>
          <w:tcPr>
            <w:tcW w:w="696"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8" w:type="dxa"/>
            <w:vMerge w:val="restart"/>
            <w:tcBorders>
              <w:top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ind w:firstLine="420"/>
              <w:jc w:val="center"/>
              <w:rPr>
                <w:szCs w:val="21"/>
              </w:rPr>
            </w:pPr>
          </w:p>
        </w:tc>
        <w:tc>
          <w:tcPr>
            <w:tcW w:w="1088" w:type="dxa"/>
            <w:vMerge w:val="continue"/>
            <w:tcBorders>
              <w:top w:val="single" w:color="auto" w:sz="6" w:space="0"/>
              <w:bottom w:val="single" w:color="auto" w:sz="6" w:space="0"/>
            </w:tcBorders>
            <w:vAlign w:val="center"/>
          </w:tcPr>
          <w:p>
            <w:pPr>
              <w:pStyle w:val="55"/>
              <w:ind w:firstLine="420"/>
              <w:jc w:val="center"/>
              <w:rPr>
                <w:szCs w:val="21"/>
              </w:rPr>
            </w:pPr>
          </w:p>
        </w:tc>
        <w:tc>
          <w:tcPr>
            <w:tcW w:w="567" w:type="dxa"/>
            <w:vMerge w:val="continue"/>
            <w:tcBorders>
              <w:top w:val="single" w:color="auto" w:sz="6" w:space="0"/>
              <w:bottom w:val="single" w:color="auto" w:sz="6" w:space="0"/>
            </w:tcBorders>
            <w:vAlign w:val="center"/>
          </w:tcPr>
          <w:p>
            <w:pPr>
              <w:pStyle w:val="55"/>
              <w:ind w:firstLine="300"/>
              <w:jc w:val="center"/>
              <w:rPr>
                <w:sz w:val="15"/>
                <w:szCs w:val="15"/>
              </w:rPr>
            </w:pPr>
          </w:p>
        </w:tc>
        <w:tc>
          <w:tcPr>
            <w:tcW w:w="4654" w:type="dxa"/>
            <w:tcBorders>
              <w:top w:val="single" w:color="auto" w:sz="6" w:space="0"/>
              <w:bottom w:val="single" w:color="auto" w:sz="6" w:space="0"/>
            </w:tcBorders>
            <w:vAlign w:val="center"/>
          </w:tcPr>
          <w:p>
            <w:pPr>
              <w:pStyle w:val="55"/>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55"/>
              <w:rPr>
                <w:szCs w:val="21"/>
              </w:rPr>
            </w:pPr>
            <w:r>
              <w:rPr>
                <w:szCs w:val="21"/>
              </w:rPr>
              <w:t>2~4分</w:t>
            </w:r>
          </w:p>
        </w:tc>
        <w:tc>
          <w:tcPr>
            <w:tcW w:w="696"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8" w:type="dxa"/>
            <w:vMerge w:val="continue"/>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300"/>
              <w:jc w:val="center"/>
              <w:rPr>
                <w:sz w:val="15"/>
                <w:szCs w:val="15"/>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55"/>
              <w:rPr>
                <w:szCs w:val="21"/>
              </w:rPr>
            </w:pPr>
            <w:r>
              <w:rPr>
                <w:szCs w:val="21"/>
              </w:rPr>
              <w:t>0~1分</w:t>
            </w:r>
          </w:p>
        </w:tc>
        <w:tc>
          <w:tcPr>
            <w:tcW w:w="696"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8" w:type="dxa"/>
            <w:vMerge w:val="continue"/>
            <w:tcBorders>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rFonts w:hint="eastAsia"/>
                <w:szCs w:val="21"/>
              </w:rPr>
              <w:t>4</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质量管理保证体系</w:t>
            </w:r>
          </w:p>
        </w:tc>
        <w:tc>
          <w:tcPr>
            <w:tcW w:w="567" w:type="dxa"/>
            <w:vMerge w:val="restart"/>
            <w:tcBorders>
              <w:top w:val="single" w:color="auto" w:sz="12" w:space="0"/>
              <w:bottom w:val="single" w:color="auto" w:sz="6" w:space="0"/>
            </w:tcBorders>
            <w:vAlign w:val="center"/>
          </w:tcPr>
          <w:p>
            <w:pPr>
              <w:pStyle w:val="55"/>
              <w:rPr>
                <w:sz w:val="15"/>
                <w:szCs w:val="15"/>
              </w:rPr>
            </w:pPr>
            <w:r>
              <w:rPr>
                <w:sz w:val="15"/>
                <w:szCs w:val="15"/>
              </w:rPr>
              <w:t>5分</w:t>
            </w:r>
          </w:p>
        </w:tc>
        <w:tc>
          <w:tcPr>
            <w:tcW w:w="4654" w:type="dxa"/>
            <w:tcBorders>
              <w:top w:val="single" w:color="auto" w:sz="12" w:space="0"/>
              <w:bottom w:val="single" w:color="auto" w:sz="6" w:space="0"/>
            </w:tcBorders>
            <w:vAlign w:val="center"/>
          </w:tcPr>
          <w:p>
            <w:pPr>
              <w:pStyle w:val="55"/>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rPr>
                <w:szCs w:val="21"/>
              </w:rPr>
            </w:pPr>
            <w:r>
              <w:rPr>
                <w:szCs w:val="21"/>
              </w:rPr>
              <w:t>5分</w:t>
            </w:r>
          </w:p>
        </w:tc>
        <w:tc>
          <w:tcPr>
            <w:tcW w:w="696"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8" w:type="dxa"/>
            <w:vMerge w:val="restart"/>
            <w:tcBorders>
              <w:top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ind w:firstLine="420"/>
              <w:jc w:val="center"/>
              <w:rPr>
                <w:szCs w:val="21"/>
              </w:rPr>
            </w:pPr>
          </w:p>
        </w:tc>
        <w:tc>
          <w:tcPr>
            <w:tcW w:w="1088" w:type="dxa"/>
            <w:vMerge w:val="continue"/>
            <w:tcBorders>
              <w:top w:val="single" w:color="auto" w:sz="6" w:space="0"/>
              <w:bottom w:val="single" w:color="auto" w:sz="6" w:space="0"/>
            </w:tcBorders>
            <w:vAlign w:val="center"/>
          </w:tcPr>
          <w:p>
            <w:pPr>
              <w:pStyle w:val="55"/>
              <w:ind w:firstLine="420"/>
              <w:jc w:val="center"/>
              <w:rPr>
                <w:szCs w:val="21"/>
              </w:rPr>
            </w:pPr>
          </w:p>
        </w:tc>
        <w:tc>
          <w:tcPr>
            <w:tcW w:w="567" w:type="dxa"/>
            <w:vMerge w:val="continue"/>
            <w:tcBorders>
              <w:top w:val="single" w:color="auto" w:sz="6" w:space="0"/>
              <w:bottom w:val="single" w:color="auto" w:sz="6" w:space="0"/>
            </w:tcBorders>
            <w:vAlign w:val="center"/>
          </w:tcPr>
          <w:p>
            <w:pPr>
              <w:pStyle w:val="55"/>
              <w:ind w:firstLine="300"/>
              <w:jc w:val="center"/>
              <w:rPr>
                <w:sz w:val="15"/>
                <w:szCs w:val="15"/>
              </w:rPr>
            </w:pPr>
          </w:p>
        </w:tc>
        <w:tc>
          <w:tcPr>
            <w:tcW w:w="4654" w:type="dxa"/>
            <w:tcBorders>
              <w:top w:val="single" w:color="auto" w:sz="6" w:space="0"/>
              <w:bottom w:val="single" w:color="auto" w:sz="6" w:space="0"/>
            </w:tcBorders>
            <w:vAlign w:val="center"/>
          </w:tcPr>
          <w:p>
            <w:pPr>
              <w:pStyle w:val="55"/>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55"/>
              <w:rPr>
                <w:szCs w:val="21"/>
              </w:rPr>
            </w:pPr>
            <w:r>
              <w:rPr>
                <w:szCs w:val="21"/>
              </w:rPr>
              <w:t>2~4分</w:t>
            </w:r>
          </w:p>
        </w:tc>
        <w:tc>
          <w:tcPr>
            <w:tcW w:w="696"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8" w:type="dxa"/>
            <w:vMerge w:val="continue"/>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300"/>
              <w:jc w:val="center"/>
              <w:rPr>
                <w:sz w:val="15"/>
                <w:szCs w:val="15"/>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rPr>
                <w:szCs w:val="21"/>
              </w:rPr>
            </w:pPr>
            <w:r>
              <w:rPr>
                <w:szCs w:val="21"/>
              </w:rPr>
              <w:t>0~1分</w:t>
            </w:r>
          </w:p>
        </w:tc>
        <w:tc>
          <w:tcPr>
            <w:tcW w:w="696"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8" w:type="dxa"/>
            <w:vMerge w:val="continue"/>
            <w:tcBorders>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rFonts w:hint="eastAsia"/>
                <w:szCs w:val="21"/>
              </w:rPr>
              <w:t>5</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施工进度计划及保证措施</w:t>
            </w:r>
          </w:p>
        </w:tc>
        <w:tc>
          <w:tcPr>
            <w:tcW w:w="567" w:type="dxa"/>
            <w:vMerge w:val="restart"/>
            <w:tcBorders>
              <w:top w:val="single" w:color="auto" w:sz="12" w:space="0"/>
              <w:bottom w:val="single" w:color="auto" w:sz="6" w:space="0"/>
            </w:tcBorders>
            <w:vAlign w:val="center"/>
          </w:tcPr>
          <w:p>
            <w:pPr>
              <w:pStyle w:val="55"/>
              <w:rPr>
                <w:sz w:val="15"/>
                <w:szCs w:val="15"/>
              </w:rPr>
            </w:pPr>
            <w:r>
              <w:rPr>
                <w:sz w:val="15"/>
                <w:szCs w:val="15"/>
              </w:rPr>
              <w:t>5分</w:t>
            </w:r>
          </w:p>
        </w:tc>
        <w:tc>
          <w:tcPr>
            <w:tcW w:w="4654" w:type="dxa"/>
            <w:tcBorders>
              <w:top w:val="single" w:color="auto" w:sz="12" w:space="0"/>
              <w:bottom w:val="single" w:color="auto" w:sz="6" w:space="0"/>
            </w:tcBorders>
            <w:vAlign w:val="center"/>
          </w:tcPr>
          <w:p>
            <w:pPr>
              <w:pStyle w:val="55"/>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55"/>
              <w:rPr>
                <w:szCs w:val="21"/>
              </w:rPr>
            </w:pPr>
            <w:r>
              <w:rPr>
                <w:szCs w:val="21"/>
              </w:rPr>
              <w:t>5分</w:t>
            </w:r>
          </w:p>
        </w:tc>
        <w:tc>
          <w:tcPr>
            <w:tcW w:w="696"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8" w:type="dxa"/>
            <w:vMerge w:val="restart"/>
            <w:tcBorders>
              <w:top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ind w:firstLine="420"/>
              <w:jc w:val="center"/>
              <w:rPr>
                <w:szCs w:val="21"/>
              </w:rPr>
            </w:pPr>
          </w:p>
        </w:tc>
        <w:tc>
          <w:tcPr>
            <w:tcW w:w="1088" w:type="dxa"/>
            <w:vMerge w:val="continue"/>
            <w:tcBorders>
              <w:top w:val="single" w:color="auto" w:sz="6" w:space="0"/>
              <w:bottom w:val="single" w:color="auto" w:sz="6" w:space="0"/>
            </w:tcBorders>
            <w:vAlign w:val="center"/>
          </w:tcPr>
          <w:p>
            <w:pPr>
              <w:pStyle w:val="55"/>
              <w:ind w:firstLine="420"/>
              <w:jc w:val="center"/>
              <w:rPr>
                <w:szCs w:val="21"/>
              </w:rPr>
            </w:pPr>
          </w:p>
        </w:tc>
        <w:tc>
          <w:tcPr>
            <w:tcW w:w="567" w:type="dxa"/>
            <w:vMerge w:val="continue"/>
            <w:tcBorders>
              <w:top w:val="single" w:color="auto" w:sz="6" w:space="0"/>
              <w:bottom w:val="single" w:color="auto" w:sz="6" w:space="0"/>
            </w:tcBorders>
            <w:vAlign w:val="center"/>
          </w:tcPr>
          <w:p>
            <w:pPr>
              <w:pStyle w:val="55"/>
              <w:ind w:firstLine="300"/>
              <w:jc w:val="center"/>
              <w:rPr>
                <w:sz w:val="15"/>
                <w:szCs w:val="15"/>
              </w:rPr>
            </w:pPr>
          </w:p>
        </w:tc>
        <w:tc>
          <w:tcPr>
            <w:tcW w:w="4654" w:type="dxa"/>
            <w:tcBorders>
              <w:top w:val="single" w:color="auto" w:sz="6" w:space="0"/>
              <w:bottom w:val="single" w:color="auto" w:sz="6" w:space="0"/>
            </w:tcBorders>
            <w:vAlign w:val="center"/>
          </w:tcPr>
          <w:p>
            <w:pPr>
              <w:pStyle w:val="55"/>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55"/>
              <w:rPr>
                <w:szCs w:val="21"/>
              </w:rPr>
            </w:pPr>
            <w:r>
              <w:rPr>
                <w:szCs w:val="21"/>
              </w:rPr>
              <w:t>2~4分</w:t>
            </w:r>
          </w:p>
        </w:tc>
        <w:tc>
          <w:tcPr>
            <w:tcW w:w="696"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8" w:type="dxa"/>
            <w:vMerge w:val="continue"/>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300"/>
              <w:jc w:val="center"/>
              <w:rPr>
                <w:sz w:val="15"/>
                <w:szCs w:val="15"/>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55"/>
              <w:rPr>
                <w:szCs w:val="21"/>
              </w:rPr>
            </w:pPr>
            <w:r>
              <w:rPr>
                <w:szCs w:val="21"/>
              </w:rPr>
              <w:t>0~1分</w:t>
            </w:r>
          </w:p>
        </w:tc>
        <w:tc>
          <w:tcPr>
            <w:tcW w:w="696"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8" w:type="dxa"/>
            <w:vMerge w:val="continue"/>
            <w:tcBorders>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ind w:firstLine="420"/>
              <w:jc w:val="center"/>
              <w:rPr>
                <w:szCs w:val="21"/>
              </w:rPr>
            </w:pPr>
            <w:r>
              <w:rPr>
                <w:rFonts w:hint="eastAsia"/>
                <w:szCs w:val="21"/>
              </w:rPr>
              <w:t>6</w:t>
            </w:r>
          </w:p>
        </w:tc>
        <w:tc>
          <w:tcPr>
            <w:tcW w:w="1088" w:type="dxa"/>
            <w:vMerge w:val="restart"/>
            <w:tcBorders>
              <w:top w:val="single" w:color="auto" w:sz="12" w:space="0"/>
              <w:bottom w:val="single" w:color="auto" w:sz="6" w:space="0"/>
            </w:tcBorders>
            <w:vAlign w:val="center"/>
          </w:tcPr>
          <w:p>
            <w:pPr>
              <w:pStyle w:val="55"/>
              <w:rPr>
                <w:szCs w:val="21"/>
              </w:rPr>
            </w:pPr>
            <w:r>
              <w:rPr>
                <w:rFonts w:hint="eastAsia"/>
                <w:szCs w:val="21"/>
              </w:rPr>
              <w:t>劳动力计划及主要设备材料、构件的用量的计划</w:t>
            </w:r>
          </w:p>
        </w:tc>
        <w:tc>
          <w:tcPr>
            <w:tcW w:w="567" w:type="dxa"/>
            <w:vMerge w:val="restart"/>
            <w:tcBorders>
              <w:top w:val="single" w:color="auto" w:sz="12" w:space="0"/>
              <w:bottom w:val="single" w:color="auto" w:sz="6" w:space="0"/>
            </w:tcBorders>
            <w:vAlign w:val="center"/>
          </w:tcPr>
          <w:p>
            <w:pPr>
              <w:pStyle w:val="55"/>
              <w:rPr>
                <w:sz w:val="15"/>
                <w:szCs w:val="15"/>
              </w:rPr>
            </w:pPr>
            <w:r>
              <w:rPr>
                <w:sz w:val="15"/>
                <w:szCs w:val="15"/>
              </w:rPr>
              <w:t>5分</w:t>
            </w:r>
          </w:p>
        </w:tc>
        <w:tc>
          <w:tcPr>
            <w:tcW w:w="4654" w:type="dxa"/>
            <w:tcBorders>
              <w:top w:val="single" w:color="auto" w:sz="12" w:space="0"/>
              <w:bottom w:val="single" w:color="auto" w:sz="6" w:space="0"/>
            </w:tcBorders>
            <w:vAlign w:val="center"/>
          </w:tcPr>
          <w:p>
            <w:pPr>
              <w:pStyle w:val="55"/>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55"/>
              <w:rPr>
                <w:szCs w:val="21"/>
              </w:rPr>
            </w:pPr>
            <w:r>
              <w:rPr>
                <w:szCs w:val="21"/>
              </w:rPr>
              <w:t>5分</w:t>
            </w:r>
          </w:p>
        </w:tc>
        <w:tc>
          <w:tcPr>
            <w:tcW w:w="696"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9" w:type="dxa"/>
            <w:vMerge w:val="restart"/>
            <w:tcBorders>
              <w:top w:val="single" w:color="auto" w:sz="12" w:space="0"/>
            </w:tcBorders>
          </w:tcPr>
          <w:p>
            <w:pPr>
              <w:pStyle w:val="55"/>
              <w:ind w:firstLine="420"/>
              <w:jc w:val="center"/>
              <w:rPr>
                <w:szCs w:val="21"/>
              </w:rPr>
            </w:pPr>
          </w:p>
        </w:tc>
        <w:tc>
          <w:tcPr>
            <w:tcW w:w="708" w:type="dxa"/>
            <w:vMerge w:val="restart"/>
            <w:tcBorders>
              <w:top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ind w:firstLine="420"/>
              <w:jc w:val="center"/>
              <w:rPr>
                <w:szCs w:val="21"/>
              </w:rPr>
            </w:pPr>
          </w:p>
        </w:tc>
        <w:tc>
          <w:tcPr>
            <w:tcW w:w="1088" w:type="dxa"/>
            <w:vMerge w:val="continue"/>
            <w:tcBorders>
              <w:top w:val="single" w:color="auto" w:sz="6" w:space="0"/>
              <w:bottom w:val="single" w:color="auto" w:sz="6" w:space="0"/>
            </w:tcBorders>
            <w:vAlign w:val="center"/>
          </w:tcPr>
          <w:p>
            <w:pPr>
              <w:pStyle w:val="55"/>
              <w:ind w:firstLine="420"/>
              <w:jc w:val="center"/>
              <w:rPr>
                <w:szCs w:val="21"/>
              </w:rPr>
            </w:pPr>
          </w:p>
        </w:tc>
        <w:tc>
          <w:tcPr>
            <w:tcW w:w="567" w:type="dxa"/>
            <w:vMerge w:val="continue"/>
            <w:tcBorders>
              <w:top w:val="single" w:color="auto" w:sz="6" w:space="0"/>
              <w:bottom w:val="single" w:color="auto" w:sz="6" w:space="0"/>
            </w:tcBorders>
            <w:vAlign w:val="center"/>
          </w:tcPr>
          <w:p>
            <w:pPr>
              <w:pStyle w:val="55"/>
              <w:ind w:firstLine="300"/>
              <w:jc w:val="center"/>
              <w:rPr>
                <w:sz w:val="15"/>
                <w:szCs w:val="15"/>
              </w:rPr>
            </w:pPr>
          </w:p>
        </w:tc>
        <w:tc>
          <w:tcPr>
            <w:tcW w:w="4654" w:type="dxa"/>
            <w:tcBorders>
              <w:top w:val="single" w:color="auto" w:sz="6" w:space="0"/>
              <w:bottom w:val="single" w:color="auto" w:sz="6" w:space="0"/>
            </w:tcBorders>
            <w:vAlign w:val="center"/>
          </w:tcPr>
          <w:p>
            <w:pPr>
              <w:pStyle w:val="55"/>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55"/>
              <w:rPr>
                <w:szCs w:val="21"/>
              </w:rPr>
            </w:pPr>
            <w:r>
              <w:rPr>
                <w:szCs w:val="21"/>
              </w:rPr>
              <w:t>2~4分</w:t>
            </w:r>
          </w:p>
        </w:tc>
        <w:tc>
          <w:tcPr>
            <w:tcW w:w="696"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9" w:type="dxa"/>
            <w:vMerge w:val="continue"/>
          </w:tcPr>
          <w:p>
            <w:pPr>
              <w:pStyle w:val="55"/>
              <w:ind w:firstLine="420"/>
              <w:jc w:val="center"/>
              <w:rPr>
                <w:szCs w:val="21"/>
              </w:rPr>
            </w:pPr>
          </w:p>
        </w:tc>
        <w:tc>
          <w:tcPr>
            <w:tcW w:w="708" w:type="dxa"/>
            <w:vMerge w:val="continue"/>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ind w:firstLine="420"/>
              <w:jc w:val="center"/>
              <w:rPr>
                <w:szCs w:val="21"/>
              </w:rPr>
            </w:pPr>
          </w:p>
        </w:tc>
        <w:tc>
          <w:tcPr>
            <w:tcW w:w="1088" w:type="dxa"/>
            <w:vMerge w:val="continue"/>
            <w:tcBorders>
              <w:top w:val="single" w:color="auto" w:sz="6" w:space="0"/>
              <w:bottom w:val="single" w:color="auto" w:sz="12" w:space="0"/>
            </w:tcBorders>
            <w:vAlign w:val="center"/>
          </w:tcPr>
          <w:p>
            <w:pPr>
              <w:pStyle w:val="55"/>
              <w:ind w:firstLine="420"/>
              <w:jc w:val="center"/>
              <w:rPr>
                <w:szCs w:val="21"/>
              </w:rPr>
            </w:pPr>
          </w:p>
        </w:tc>
        <w:tc>
          <w:tcPr>
            <w:tcW w:w="567" w:type="dxa"/>
            <w:vMerge w:val="continue"/>
            <w:tcBorders>
              <w:top w:val="single" w:color="auto" w:sz="6" w:space="0"/>
              <w:bottom w:val="single" w:color="auto" w:sz="12" w:space="0"/>
            </w:tcBorders>
            <w:vAlign w:val="center"/>
          </w:tcPr>
          <w:p>
            <w:pPr>
              <w:pStyle w:val="55"/>
              <w:ind w:firstLine="300"/>
              <w:jc w:val="center"/>
              <w:rPr>
                <w:sz w:val="15"/>
                <w:szCs w:val="15"/>
              </w:rPr>
            </w:pPr>
          </w:p>
        </w:tc>
        <w:tc>
          <w:tcPr>
            <w:tcW w:w="4654" w:type="dxa"/>
            <w:tcBorders>
              <w:top w:val="single" w:color="auto" w:sz="6" w:space="0"/>
              <w:bottom w:val="single" w:color="auto" w:sz="12" w:space="0"/>
            </w:tcBorders>
            <w:vAlign w:val="center"/>
          </w:tcPr>
          <w:p>
            <w:pPr>
              <w:pStyle w:val="55"/>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55"/>
              <w:rPr>
                <w:szCs w:val="21"/>
              </w:rPr>
            </w:pPr>
            <w:r>
              <w:rPr>
                <w:szCs w:val="21"/>
              </w:rPr>
              <w:t>0~1分</w:t>
            </w:r>
          </w:p>
        </w:tc>
        <w:tc>
          <w:tcPr>
            <w:tcW w:w="696"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9" w:type="dxa"/>
            <w:vMerge w:val="continue"/>
            <w:tcBorders>
              <w:bottom w:val="single" w:color="auto" w:sz="12" w:space="0"/>
            </w:tcBorders>
          </w:tcPr>
          <w:p>
            <w:pPr>
              <w:pStyle w:val="55"/>
              <w:ind w:firstLine="420"/>
              <w:jc w:val="center"/>
              <w:rPr>
                <w:szCs w:val="21"/>
              </w:rPr>
            </w:pPr>
          </w:p>
        </w:tc>
        <w:tc>
          <w:tcPr>
            <w:tcW w:w="708" w:type="dxa"/>
            <w:vMerge w:val="continue"/>
            <w:tcBorders>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ind w:firstLine="420"/>
              <w:jc w:val="center"/>
              <w:rPr>
                <w:szCs w:val="21"/>
              </w:rPr>
            </w:pPr>
            <w:r>
              <w:rPr>
                <w:rFonts w:hint="eastAsia"/>
                <w:szCs w:val="21"/>
              </w:rPr>
              <w:t>8</w:t>
            </w:r>
          </w:p>
        </w:tc>
        <w:tc>
          <w:tcPr>
            <w:tcW w:w="1088" w:type="dxa"/>
            <w:vMerge w:val="restart"/>
            <w:tcBorders>
              <w:top w:val="single" w:color="auto" w:sz="12" w:space="0"/>
            </w:tcBorders>
            <w:vAlign w:val="center"/>
          </w:tcPr>
          <w:p>
            <w:pPr>
              <w:pStyle w:val="55"/>
              <w:rPr>
                <w:szCs w:val="21"/>
              </w:rPr>
            </w:pPr>
            <w:r>
              <w:rPr>
                <w:rFonts w:hint="eastAsia"/>
                <w:szCs w:val="21"/>
              </w:rPr>
              <w:t>安全文明施工措施</w:t>
            </w:r>
          </w:p>
        </w:tc>
        <w:tc>
          <w:tcPr>
            <w:tcW w:w="567" w:type="dxa"/>
            <w:tcBorders>
              <w:top w:val="single" w:color="auto" w:sz="12" w:space="0"/>
              <w:bottom w:val="single" w:color="auto" w:sz="4" w:space="0"/>
            </w:tcBorders>
            <w:vAlign w:val="center"/>
          </w:tcPr>
          <w:p>
            <w:pPr>
              <w:pStyle w:val="55"/>
              <w:rPr>
                <w:sz w:val="15"/>
                <w:szCs w:val="15"/>
              </w:rPr>
            </w:pPr>
            <w:r>
              <w:rPr>
                <w:rFonts w:hint="eastAsia"/>
                <w:sz w:val="15"/>
                <w:szCs w:val="15"/>
              </w:rPr>
              <w:t>4分</w:t>
            </w:r>
          </w:p>
        </w:tc>
        <w:tc>
          <w:tcPr>
            <w:tcW w:w="4654" w:type="dxa"/>
            <w:tcBorders>
              <w:top w:val="single" w:color="auto" w:sz="12" w:space="0"/>
              <w:bottom w:val="single" w:color="auto" w:sz="6" w:space="0"/>
            </w:tcBorders>
            <w:vAlign w:val="center"/>
          </w:tcPr>
          <w:p>
            <w:pPr>
              <w:pStyle w:val="55"/>
              <w:rPr>
                <w:szCs w:val="21"/>
              </w:rPr>
            </w:pPr>
            <w:r>
              <w:rPr>
                <w:rFonts w:hint="eastAsia"/>
                <w:szCs w:val="21"/>
              </w:rPr>
              <w:t>技术标中有本工程的安全生产责任制度</w:t>
            </w:r>
          </w:p>
        </w:tc>
        <w:tc>
          <w:tcPr>
            <w:tcW w:w="934" w:type="dxa"/>
            <w:tcBorders>
              <w:top w:val="single" w:color="auto" w:sz="12" w:space="0"/>
              <w:bottom w:val="single" w:color="auto" w:sz="6" w:space="0"/>
            </w:tcBorders>
            <w:vAlign w:val="center"/>
          </w:tcPr>
          <w:p>
            <w:pPr>
              <w:pStyle w:val="55"/>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9" w:type="dxa"/>
            <w:tcBorders>
              <w:top w:val="single" w:color="auto" w:sz="12" w:space="0"/>
              <w:bottom w:val="single" w:color="auto" w:sz="6" w:space="0"/>
            </w:tcBorders>
          </w:tcPr>
          <w:p>
            <w:pPr>
              <w:pStyle w:val="55"/>
              <w:ind w:firstLine="420"/>
              <w:jc w:val="center"/>
              <w:rPr>
                <w:szCs w:val="21"/>
              </w:rPr>
            </w:pPr>
          </w:p>
        </w:tc>
        <w:tc>
          <w:tcPr>
            <w:tcW w:w="708" w:type="dxa"/>
            <w:tcBorders>
              <w:top w:val="single" w:color="auto" w:sz="12" w:space="0"/>
              <w:bottom w:val="single" w:color="auto" w:sz="6"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ind w:firstLine="420"/>
              <w:jc w:val="center"/>
              <w:rPr>
                <w:szCs w:val="21"/>
              </w:rPr>
            </w:pPr>
          </w:p>
        </w:tc>
        <w:tc>
          <w:tcPr>
            <w:tcW w:w="1088" w:type="dxa"/>
            <w:vMerge w:val="continue"/>
            <w:vAlign w:val="center"/>
          </w:tcPr>
          <w:p>
            <w:pPr>
              <w:pStyle w:val="55"/>
              <w:ind w:firstLine="420"/>
              <w:jc w:val="center"/>
              <w:rPr>
                <w:szCs w:val="21"/>
              </w:rPr>
            </w:pPr>
          </w:p>
        </w:tc>
        <w:tc>
          <w:tcPr>
            <w:tcW w:w="567" w:type="dxa"/>
            <w:tcBorders>
              <w:top w:val="single" w:color="auto" w:sz="4" w:space="0"/>
              <w:bottom w:val="single" w:color="auto" w:sz="4" w:space="0"/>
            </w:tcBorders>
            <w:vAlign w:val="center"/>
          </w:tcPr>
          <w:p>
            <w:pPr>
              <w:pStyle w:val="55"/>
              <w:rPr>
                <w:sz w:val="15"/>
                <w:szCs w:val="15"/>
              </w:rPr>
            </w:pPr>
            <w:r>
              <w:rPr>
                <w:rFonts w:hint="eastAsia"/>
                <w:sz w:val="15"/>
                <w:szCs w:val="15"/>
              </w:rPr>
              <w:t>4分</w:t>
            </w:r>
          </w:p>
        </w:tc>
        <w:tc>
          <w:tcPr>
            <w:tcW w:w="4654" w:type="dxa"/>
            <w:tcBorders>
              <w:top w:val="single" w:color="auto" w:sz="6" w:space="0"/>
              <w:bottom w:val="single" w:color="auto" w:sz="4" w:space="0"/>
            </w:tcBorders>
            <w:vAlign w:val="center"/>
          </w:tcPr>
          <w:p>
            <w:pPr>
              <w:pStyle w:val="55"/>
              <w:rPr>
                <w:szCs w:val="21"/>
              </w:rPr>
            </w:pPr>
            <w:r>
              <w:rPr>
                <w:rFonts w:hint="eastAsia"/>
                <w:szCs w:val="21"/>
              </w:rPr>
              <w:t>技术标中有本工程的安全员</w:t>
            </w:r>
          </w:p>
        </w:tc>
        <w:tc>
          <w:tcPr>
            <w:tcW w:w="934" w:type="dxa"/>
            <w:tcBorders>
              <w:top w:val="single" w:color="auto" w:sz="6" w:space="0"/>
              <w:bottom w:val="single" w:color="auto" w:sz="4" w:space="0"/>
            </w:tcBorders>
            <w:vAlign w:val="center"/>
          </w:tcPr>
          <w:p>
            <w:pPr>
              <w:pStyle w:val="55"/>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6" w:space="0"/>
              <w:bottom w:val="single" w:color="auto" w:sz="4" w:space="0"/>
            </w:tcBorders>
          </w:tcPr>
          <w:p>
            <w:pPr>
              <w:pStyle w:val="55"/>
              <w:ind w:firstLine="420"/>
              <w:jc w:val="center"/>
              <w:rPr>
                <w:szCs w:val="21"/>
              </w:rPr>
            </w:pPr>
          </w:p>
        </w:tc>
        <w:tc>
          <w:tcPr>
            <w:tcW w:w="709" w:type="dxa"/>
            <w:tcBorders>
              <w:top w:val="single" w:color="auto" w:sz="6" w:space="0"/>
              <w:bottom w:val="single" w:color="auto" w:sz="4" w:space="0"/>
            </w:tcBorders>
          </w:tcPr>
          <w:p>
            <w:pPr>
              <w:pStyle w:val="55"/>
              <w:ind w:firstLine="420"/>
              <w:jc w:val="center"/>
              <w:rPr>
                <w:szCs w:val="21"/>
              </w:rPr>
            </w:pPr>
          </w:p>
        </w:tc>
        <w:tc>
          <w:tcPr>
            <w:tcW w:w="709" w:type="dxa"/>
            <w:tcBorders>
              <w:top w:val="single" w:color="auto" w:sz="6" w:space="0"/>
              <w:bottom w:val="single" w:color="auto" w:sz="4" w:space="0"/>
            </w:tcBorders>
          </w:tcPr>
          <w:p>
            <w:pPr>
              <w:pStyle w:val="55"/>
              <w:ind w:firstLine="420"/>
              <w:jc w:val="center"/>
              <w:rPr>
                <w:szCs w:val="21"/>
              </w:rPr>
            </w:pPr>
          </w:p>
        </w:tc>
        <w:tc>
          <w:tcPr>
            <w:tcW w:w="709" w:type="dxa"/>
            <w:tcBorders>
              <w:top w:val="single" w:color="auto" w:sz="6" w:space="0"/>
              <w:bottom w:val="single" w:color="auto" w:sz="4" w:space="0"/>
            </w:tcBorders>
          </w:tcPr>
          <w:p>
            <w:pPr>
              <w:pStyle w:val="55"/>
              <w:ind w:firstLine="420"/>
              <w:jc w:val="center"/>
              <w:rPr>
                <w:szCs w:val="21"/>
              </w:rPr>
            </w:pPr>
          </w:p>
        </w:tc>
        <w:tc>
          <w:tcPr>
            <w:tcW w:w="708" w:type="dxa"/>
            <w:tcBorders>
              <w:top w:val="single" w:color="auto" w:sz="6" w:space="0"/>
              <w:bottom w:val="single" w:color="auto" w:sz="4"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ind w:firstLine="420"/>
              <w:jc w:val="center"/>
              <w:rPr>
                <w:szCs w:val="21"/>
              </w:rPr>
            </w:pPr>
          </w:p>
        </w:tc>
        <w:tc>
          <w:tcPr>
            <w:tcW w:w="1088" w:type="dxa"/>
            <w:vMerge w:val="continue"/>
            <w:vAlign w:val="center"/>
          </w:tcPr>
          <w:p>
            <w:pPr>
              <w:pStyle w:val="55"/>
              <w:ind w:firstLine="420"/>
              <w:jc w:val="center"/>
              <w:rPr>
                <w:szCs w:val="21"/>
              </w:rPr>
            </w:pPr>
          </w:p>
        </w:tc>
        <w:tc>
          <w:tcPr>
            <w:tcW w:w="567" w:type="dxa"/>
            <w:tcBorders>
              <w:top w:val="single" w:color="auto" w:sz="4" w:space="0"/>
              <w:bottom w:val="single" w:color="auto" w:sz="4" w:space="0"/>
            </w:tcBorders>
            <w:vAlign w:val="center"/>
          </w:tcPr>
          <w:p>
            <w:pPr>
              <w:pStyle w:val="55"/>
              <w:rPr>
                <w:sz w:val="15"/>
                <w:szCs w:val="15"/>
              </w:rPr>
            </w:pPr>
            <w:r>
              <w:rPr>
                <w:rFonts w:hint="eastAsia"/>
                <w:sz w:val="15"/>
                <w:szCs w:val="15"/>
              </w:rPr>
              <w:t>4分</w:t>
            </w:r>
          </w:p>
        </w:tc>
        <w:tc>
          <w:tcPr>
            <w:tcW w:w="4654" w:type="dxa"/>
            <w:tcBorders>
              <w:top w:val="single" w:color="auto" w:sz="4" w:space="0"/>
              <w:bottom w:val="single" w:color="auto" w:sz="4" w:space="0"/>
            </w:tcBorders>
            <w:vAlign w:val="center"/>
          </w:tcPr>
          <w:p>
            <w:pPr>
              <w:pStyle w:val="55"/>
              <w:rPr>
                <w:szCs w:val="21"/>
              </w:rPr>
            </w:pPr>
            <w:r>
              <w:rPr>
                <w:rFonts w:hint="eastAsia"/>
                <w:szCs w:val="21"/>
              </w:rPr>
              <w:t>技术标中有本工程的安全生产检查方案</w:t>
            </w:r>
          </w:p>
        </w:tc>
        <w:tc>
          <w:tcPr>
            <w:tcW w:w="934" w:type="dxa"/>
            <w:tcBorders>
              <w:top w:val="single" w:color="auto" w:sz="4" w:space="0"/>
              <w:bottom w:val="single" w:color="auto" w:sz="6" w:space="0"/>
            </w:tcBorders>
            <w:vAlign w:val="center"/>
          </w:tcPr>
          <w:p>
            <w:pPr>
              <w:pStyle w:val="55"/>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4" w:space="0"/>
              <w:bottom w:val="single" w:color="auto" w:sz="6" w:space="0"/>
            </w:tcBorders>
          </w:tcPr>
          <w:p>
            <w:pPr>
              <w:pStyle w:val="55"/>
              <w:ind w:firstLine="420"/>
              <w:jc w:val="center"/>
              <w:rPr>
                <w:szCs w:val="21"/>
              </w:rPr>
            </w:pPr>
          </w:p>
        </w:tc>
        <w:tc>
          <w:tcPr>
            <w:tcW w:w="709" w:type="dxa"/>
            <w:tcBorders>
              <w:top w:val="single" w:color="auto" w:sz="4" w:space="0"/>
              <w:bottom w:val="single" w:color="auto" w:sz="6" w:space="0"/>
            </w:tcBorders>
          </w:tcPr>
          <w:p>
            <w:pPr>
              <w:pStyle w:val="55"/>
              <w:ind w:firstLine="420"/>
              <w:jc w:val="center"/>
              <w:rPr>
                <w:szCs w:val="21"/>
              </w:rPr>
            </w:pPr>
          </w:p>
        </w:tc>
        <w:tc>
          <w:tcPr>
            <w:tcW w:w="709" w:type="dxa"/>
            <w:tcBorders>
              <w:top w:val="single" w:color="auto" w:sz="4" w:space="0"/>
              <w:bottom w:val="single" w:color="auto" w:sz="6" w:space="0"/>
            </w:tcBorders>
          </w:tcPr>
          <w:p>
            <w:pPr>
              <w:pStyle w:val="55"/>
              <w:ind w:firstLine="420"/>
              <w:jc w:val="center"/>
              <w:rPr>
                <w:szCs w:val="21"/>
              </w:rPr>
            </w:pPr>
          </w:p>
        </w:tc>
        <w:tc>
          <w:tcPr>
            <w:tcW w:w="709" w:type="dxa"/>
            <w:tcBorders>
              <w:top w:val="single" w:color="auto" w:sz="4" w:space="0"/>
              <w:bottom w:val="single" w:color="auto" w:sz="6" w:space="0"/>
            </w:tcBorders>
          </w:tcPr>
          <w:p>
            <w:pPr>
              <w:pStyle w:val="55"/>
              <w:ind w:firstLine="420"/>
              <w:jc w:val="center"/>
              <w:rPr>
                <w:szCs w:val="21"/>
              </w:rPr>
            </w:pPr>
          </w:p>
        </w:tc>
        <w:tc>
          <w:tcPr>
            <w:tcW w:w="708" w:type="dxa"/>
            <w:tcBorders>
              <w:top w:val="single" w:color="auto" w:sz="4" w:space="0"/>
              <w:bottom w:val="single" w:color="auto" w:sz="6"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ind w:firstLine="420"/>
              <w:jc w:val="center"/>
              <w:rPr>
                <w:szCs w:val="21"/>
              </w:rPr>
            </w:pPr>
          </w:p>
        </w:tc>
        <w:tc>
          <w:tcPr>
            <w:tcW w:w="1088" w:type="dxa"/>
            <w:vMerge w:val="continue"/>
            <w:tcBorders>
              <w:bottom w:val="single" w:color="auto" w:sz="12" w:space="0"/>
            </w:tcBorders>
            <w:vAlign w:val="center"/>
          </w:tcPr>
          <w:p>
            <w:pPr>
              <w:pStyle w:val="55"/>
              <w:ind w:firstLine="420"/>
              <w:jc w:val="center"/>
              <w:rPr>
                <w:szCs w:val="21"/>
              </w:rPr>
            </w:pPr>
          </w:p>
        </w:tc>
        <w:tc>
          <w:tcPr>
            <w:tcW w:w="567" w:type="dxa"/>
            <w:tcBorders>
              <w:top w:val="single" w:color="auto" w:sz="4" w:space="0"/>
              <w:bottom w:val="single" w:color="auto" w:sz="12" w:space="0"/>
            </w:tcBorders>
            <w:vAlign w:val="center"/>
          </w:tcPr>
          <w:p>
            <w:pPr>
              <w:pStyle w:val="55"/>
              <w:rPr>
                <w:sz w:val="16"/>
                <w:szCs w:val="21"/>
              </w:rPr>
            </w:pPr>
            <w:r>
              <w:rPr>
                <w:rFonts w:hint="eastAsia"/>
                <w:sz w:val="15"/>
                <w:szCs w:val="15"/>
              </w:rPr>
              <w:t>4分</w:t>
            </w:r>
          </w:p>
        </w:tc>
        <w:tc>
          <w:tcPr>
            <w:tcW w:w="4654" w:type="dxa"/>
            <w:tcBorders>
              <w:top w:val="single" w:color="auto" w:sz="4" w:space="0"/>
              <w:bottom w:val="single" w:color="auto" w:sz="12" w:space="0"/>
            </w:tcBorders>
            <w:vAlign w:val="center"/>
          </w:tcPr>
          <w:p>
            <w:pPr>
              <w:pStyle w:val="55"/>
              <w:rPr>
                <w:szCs w:val="21"/>
              </w:rPr>
            </w:pPr>
            <w:r>
              <w:rPr>
                <w:rFonts w:hint="eastAsia"/>
                <w:szCs w:val="21"/>
              </w:rPr>
              <w:t>针对本工程施工安全文明施工实施方案</w:t>
            </w:r>
          </w:p>
        </w:tc>
        <w:tc>
          <w:tcPr>
            <w:tcW w:w="934" w:type="dxa"/>
            <w:tcBorders>
              <w:top w:val="single" w:color="auto" w:sz="6" w:space="0"/>
              <w:bottom w:val="single" w:color="auto" w:sz="12" w:space="0"/>
            </w:tcBorders>
            <w:vAlign w:val="center"/>
          </w:tcPr>
          <w:p>
            <w:pPr>
              <w:pStyle w:val="55"/>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9" w:type="dxa"/>
            <w:tcBorders>
              <w:top w:val="single" w:color="auto" w:sz="6" w:space="0"/>
              <w:bottom w:val="single" w:color="auto" w:sz="12" w:space="0"/>
            </w:tcBorders>
          </w:tcPr>
          <w:p>
            <w:pPr>
              <w:pStyle w:val="55"/>
              <w:ind w:firstLine="420"/>
              <w:jc w:val="center"/>
              <w:rPr>
                <w:szCs w:val="21"/>
              </w:rPr>
            </w:pPr>
          </w:p>
        </w:tc>
        <w:tc>
          <w:tcPr>
            <w:tcW w:w="708" w:type="dxa"/>
            <w:tcBorders>
              <w:top w:val="single" w:color="auto" w:sz="6" w:space="0"/>
              <w:bottom w:val="single" w:color="auto" w:sz="12" w:space="0"/>
            </w:tcBorders>
          </w:tcPr>
          <w:p>
            <w:pPr>
              <w:pStyle w:val="55"/>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ind w:firstLine="420"/>
              <w:jc w:val="center"/>
              <w:rPr>
                <w:szCs w:val="21"/>
              </w:rPr>
            </w:pPr>
            <w:r>
              <w:rPr>
                <w:rFonts w:hint="eastAsia"/>
                <w:szCs w:val="21"/>
              </w:rPr>
              <w:t>9</w:t>
            </w:r>
          </w:p>
        </w:tc>
        <w:tc>
          <w:tcPr>
            <w:tcW w:w="6309" w:type="dxa"/>
            <w:gridSpan w:val="3"/>
            <w:tcBorders>
              <w:top w:val="single" w:color="auto" w:sz="12" w:space="0"/>
            </w:tcBorders>
            <w:vAlign w:val="center"/>
          </w:tcPr>
          <w:p>
            <w:pPr>
              <w:pStyle w:val="55"/>
              <w:ind w:firstLine="422"/>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55"/>
              <w:ind w:firstLine="420"/>
              <w:jc w:val="center"/>
              <w:rPr>
                <w:szCs w:val="21"/>
              </w:rPr>
            </w:pPr>
          </w:p>
        </w:tc>
        <w:tc>
          <w:tcPr>
            <w:tcW w:w="696" w:type="dxa"/>
            <w:tcBorders>
              <w:top w:val="single" w:color="auto" w:sz="12" w:space="0"/>
            </w:tcBorders>
          </w:tcPr>
          <w:p>
            <w:pPr>
              <w:pStyle w:val="55"/>
              <w:ind w:firstLine="420"/>
              <w:jc w:val="center"/>
              <w:rPr>
                <w:szCs w:val="21"/>
              </w:rPr>
            </w:pPr>
          </w:p>
        </w:tc>
        <w:tc>
          <w:tcPr>
            <w:tcW w:w="709" w:type="dxa"/>
            <w:tcBorders>
              <w:top w:val="single" w:color="auto" w:sz="12" w:space="0"/>
            </w:tcBorders>
          </w:tcPr>
          <w:p>
            <w:pPr>
              <w:pStyle w:val="55"/>
              <w:ind w:firstLine="420"/>
              <w:jc w:val="center"/>
              <w:rPr>
                <w:szCs w:val="21"/>
              </w:rPr>
            </w:pPr>
          </w:p>
        </w:tc>
        <w:tc>
          <w:tcPr>
            <w:tcW w:w="709" w:type="dxa"/>
            <w:tcBorders>
              <w:top w:val="single" w:color="auto" w:sz="12" w:space="0"/>
            </w:tcBorders>
          </w:tcPr>
          <w:p>
            <w:pPr>
              <w:pStyle w:val="55"/>
              <w:ind w:firstLine="420"/>
              <w:jc w:val="center"/>
              <w:rPr>
                <w:szCs w:val="21"/>
              </w:rPr>
            </w:pPr>
          </w:p>
        </w:tc>
        <w:tc>
          <w:tcPr>
            <w:tcW w:w="709" w:type="dxa"/>
            <w:tcBorders>
              <w:top w:val="single" w:color="auto" w:sz="12" w:space="0"/>
            </w:tcBorders>
          </w:tcPr>
          <w:p>
            <w:pPr>
              <w:pStyle w:val="55"/>
              <w:ind w:firstLine="420"/>
              <w:jc w:val="center"/>
              <w:rPr>
                <w:szCs w:val="21"/>
              </w:rPr>
            </w:pPr>
          </w:p>
        </w:tc>
        <w:tc>
          <w:tcPr>
            <w:tcW w:w="708" w:type="dxa"/>
            <w:tcBorders>
              <w:top w:val="single" w:color="auto" w:sz="12" w:space="0"/>
            </w:tcBorders>
          </w:tcPr>
          <w:p>
            <w:pPr>
              <w:pStyle w:val="55"/>
              <w:ind w:firstLine="420"/>
              <w:jc w:val="center"/>
              <w:rPr>
                <w:szCs w:val="21"/>
              </w:rPr>
            </w:pPr>
          </w:p>
        </w:tc>
      </w:tr>
    </w:tbl>
    <w:p>
      <w:pPr>
        <w:widowControl/>
        <w:ind w:firstLine="0" w:firstLineChars="0"/>
        <w:rPr>
          <w:rFonts w:ascii="Arial" w:hAnsi="Arial" w:cs="宋体"/>
          <w:b/>
          <w:bCs/>
          <w:kern w:val="0"/>
          <w:sz w:val="28"/>
          <w:szCs w:val="28"/>
        </w:rPr>
      </w:pPr>
    </w:p>
    <w:p>
      <w:pPr>
        <w:tabs>
          <w:tab w:val="left" w:pos="2055"/>
        </w:tabs>
        <w:ind w:firstLine="5355" w:firstLineChars="2550"/>
      </w:pPr>
      <w:r>
        <w:rPr>
          <w:rFonts w:hint="eastAsia"/>
        </w:rPr>
        <w:t>评委签名：</w:t>
      </w:r>
      <w: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2055"/>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3220" w:type="dxa"/>
        <w:tblInd w:w="113" w:type="dxa"/>
        <w:tblLayout w:type="fixed"/>
        <w:tblCellMar>
          <w:top w:w="0" w:type="dxa"/>
          <w:left w:w="108" w:type="dxa"/>
          <w:bottom w:w="0" w:type="dxa"/>
          <w:right w:w="108" w:type="dxa"/>
        </w:tblCellMar>
      </w:tblPr>
      <w:tblGrid>
        <w:gridCol w:w="1060"/>
        <w:gridCol w:w="760"/>
        <w:gridCol w:w="4300"/>
        <w:gridCol w:w="1860"/>
        <w:gridCol w:w="1600"/>
        <w:gridCol w:w="1380"/>
        <w:gridCol w:w="2260"/>
      </w:tblGrid>
      <w:tr>
        <w:tblPrEx>
          <w:tblLayout w:type="fixed"/>
          <w:tblCellMar>
            <w:top w:w="0" w:type="dxa"/>
            <w:left w:w="108" w:type="dxa"/>
            <w:bottom w:w="0" w:type="dxa"/>
            <w:right w:w="108" w:type="dxa"/>
          </w:tblCellMar>
        </w:tblPrEx>
        <w:trPr>
          <w:trHeight w:val="503" w:hRule="atLeast"/>
        </w:trPr>
        <w:tc>
          <w:tcPr>
            <w:tcW w:w="95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jc w:val="left"/>
              <w:rPr>
                <w:rFonts w:ascii="宋体" w:hAnsi="宋体" w:cs="宋体"/>
                <w:color w:val="000000"/>
                <w:kern w:val="0"/>
              </w:rPr>
            </w:pPr>
            <w:r>
              <w:rPr>
                <w:rFonts w:hint="eastAsia" w:ascii="宋体" w:hAnsi="宋体" w:cs="宋体"/>
                <w:color w:val="000000"/>
                <w:kern w:val="0"/>
              </w:rPr>
              <w:t>项目名称：</w:t>
            </w:r>
            <w:r>
              <w:rPr>
                <w:rFonts w:ascii="宋体" w:hAnsi="宋体" w:cs="宋体"/>
                <w:color w:val="000000"/>
                <w:kern w:val="0"/>
              </w:rPr>
              <w:t xml:space="preserve"> </w:t>
            </w:r>
          </w:p>
        </w:tc>
        <w:tc>
          <w:tcPr>
            <w:tcW w:w="364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left"/>
              <w:rPr>
                <w:rFonts w:ascii="宋体" w:hAnsi="宋体" w:cs="宋体"/>
                <w:color w:val="000000"/>
                <w:kern w:val="0"/>
              </w:rPr>
            </w:pPr>
            <w:r>
              <w:rPr>
                <w:rFonts w:hint="eastAsia" w:ascii="宋体" w:hAnsi="宋体" w:cs="宋体"/>
                <w:color w:val="000000"/>
                <w:kern w:val="0"/>
              </w:rPr>
              <w:t>工程编号：无</w:t>
            </w:r>
          </w:p>
        </w:tc>
      </w:tr>
      <w:tr>
        <w:tblPrEx>
          <w:tblLayout w:type="fixed"/>
          <w:tblCellMar>
            <w:top w:w="0" w:type="dxa"/>
            <w:left w:w="108" w:type="dxa"/>
            <w:bottom w:w="0" w:type="dxa"/>
            <w:right w:w="108" w:type="dxa"/>
          </w:tblCellMar>
        </w:tblPrEx>
        <w:trPr>
          <w:trHeight w:val="435" w:hRule="atLeast"/>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预算(元)</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项次</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投标公司名称</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投标报价</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基准价</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标准值(A)</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价格分</w:t>
            </w:r>
          </w:p>
        </w:tc>
      </w:tr>
      <w:tr>
        <w:tblPrEx>
          <w:tblLayout w:type="fixed"/>
          <w:tblCellMar>
            <w:top w:w="0" w:type="dxa"/>
            <w:left w:w="108" w:type="dxa"/>
            <w:bottom w:w="0" w:type="dxa"/>
            <w:right w:w="108" w:type="dxa"/>
          </w:tblCellMar>
        </w:tblPrEx>
        <w:trPr>
          <w:trHeight w:val="458"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1</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4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2</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518"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3</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503"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4</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4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5</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312" w:hRule="atLeast"/>
        </w:trPr>
        <w:tc>
          <w:tcPr>
            <w:tcW w:w="1322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b/>
                <w:bCs/>
                <w:kern w:val="0"/>
                <w:szCs w:val="20"/>
              </w:rPr>
            </w:pPr>
            <w:r>
              <w:rPr>
                <w:rFonts w:hint="eastAsia" w:ascii="宋体" w:hAnsi="宋体" w:cs="宋体"/>
                <w:b/>
                <w:bCs/>
                <w:kern w:val="0"/>
                <w:szCs w:val="20"/>
              </w:rPr>
              <w:t>评分办法</w:t>
            </w:r>
            <w:r>
              <w:rPr>
                <w:rFonts w:hint="eastAsia" w:ascii="宋体" w:hAnsi="宋体" w:cs="宋体"/>
                <w:kern w:val="0"/>
                <w:szCs w:val="20"/>
              </w:rPr>
              <w:t>：</w:t>
            </w:r>
            <w:r>
              <w:rPr>
                <w:rFonts w:hint="eastAsia" w:ascii="宋体" w:hAnsi="宋体" w:cs="宋体"/>
                <w:kern w:val="0"/>
                <w:szCs w:val="20"/>
              </w:rPr>
              <w:br w:type="textWrapping"/>
            </w:r>
            <w:r>
              <w:rPr>
                <w:rFonts w:hint="eastAsia" w:ascii="宋体" w:hAnsi="宋体" w:cs="宋体"/>
                <w:b/>
                <w:kern w:val="0"/>
                <w:szCs w:val="32"/>
              </w:rPr>
              <w:t>■</w:t>
            </w:r>
            <w:r>
              <w:rPr>
                <w:rFonts w:hint="eastAsia" w:ascii="宋体" w:hAnsi="宋体" w:cs="宋体"/>
                <w:b/>
                <w:kern w:val="0"/>
                <w:szCs w:val="20"/>
              </w:rPr>
              <w:t xml:space="preserve">方法一：满足招标文件要求且投标报价最低价作为评标基准价，其价格分为满分。其他投标人的价格分=(评标基准价／投标报价)×60         </w:t>
            </w:r>
            <w:r>
              <w:rPr>
                <w:rFonts w:hint="eastAsia" w:ascii="宋体" w:hAnsi="宋体" w:cs="宋体"/>
                <w:b/>
                <w:kern w:val="0"/>
                <w:szCs w:val="20"/>
              </w:rPr>
              <w:br w:type="textWrapping"/>
            </w:r>
            <w:r>
              <w:rPr>
                <w:rFonts w:hint="eastAsia" w:ascii="宋体" w:hAnsi="宋体" w:cs="宋体"/>
                <w:b/>
                <w:kern w:val="0"/>
                <w:szCs w:val="32"/>
              </w:rPr>
              <w:t>□</w:t>
            </w:r>
            <w:r>
              <w:rPr>
                <w:rFonts w:hint="eastAsia" w:ascii="宋体" w:hAnsi="宋体" w:cs="宋体"/>
                <w:b/>
                <w:kern w:val="0"/>
                <w:szCs w:val="20"/>
              </w:rPr>
              <w:t>方法二：满足招标文件要求且投标报价最低价作为评标基准价，其他投标人的价格分：价格分标准值（A)=(评标基准价／投标报价)×100%</w:t>
            </w:r>
            <w:r>
              <w:rPr>
                <w:rFonts w:hint="eastAsia" w:ascii="宋体" w:hAnsi="宋体" w:cs="宋体"/>
                <w:b/>
                <w:kern w:val="0"/>
                <w:szCs w:val="20"/>
              </w:rPr>
              <w:br w:type="textWrapping"/>
            </w:r>
            <w:r>
              <w:rPr>
                <w:rFonts w:hint="eastAsia" w:ascii="宋体" w:hAnsi="宋体" w:cs="宋体"/>
                <w:b/>
                <w:kern w:val="0"/>
                <w:szCs w:val="32"/>
              </w:rPr>
              <w:t>□</w:t>
            </w:r>
            <w:r>
              <w:rPr>
                <w:rFonts w:hint="eastAsia" w:ascii="宋体" w:hAnsi="宋体" w:cs="宋体"/>
                <w:b/>
                <w:kern w:val="0"/>
                <w:szCs w:val="20"/>
              </w:rPr>
              <w:t>方法三：满足招标文件要求且投标报价平均价作为评标基准价，其他投标人的价格分：价格分标准值（A)=(评标基准价／投标报价)×100%</w:t>
            </w:r>
          </w:p>
        </w:tc>
      </w:tr>
      <w:tr>
        <w:tblPrEx>
          <w:tblLayout w:type="fixed"/>
          <w:tblCellMar>
            <w:top w:w="0" w:type="dxa"/>
            <w:left w:w="108" w:type="dxa"/>
            <w:bottom w:w="0" w:type="dxa"/>
            <w:right w:w="108" w:type="dxa"/>
          </w:tblCellMar>
        </w:tblPrEx>
        <w:trPr>
          <w:trHeight w:val="1102" w:hRule="atLeast"/>
        </w:trPr>
        <w:tc>
          <w:tcPr>
            <w:tcW w:w="1322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kern w:val="0"/>
                <w:szCs w:val="20"/>
              </w:rPr>
            </w:pPr>
          </w:p>
        </w:tc>
      </w:tr>
      <w:tr>
        <w:tblPrEx>
          <w:tblLayout w:type="fixed"/>
          <w:tblCellMar>
            <w:top w:w="0" w:type="dxa"/>
            <w:left w:w="108" w:type="dxa"/>
            <w:bottom w:w="0" w:type="dxa"/>
            <w:right w:w="108" w:type="dxa"/>
          </w:tblCellMar>
        </w:tblPrEx>
        <w:trPr>
          <w:trHeight w:val="398" w:hRule="atLeast"/>
        </w:trPr>
        <w:tc>
          <w:tcPr>
            <w:tcW w:w="95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xml:space="preserve">                价格分标准值 （A）   </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价格得分</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A ≤ 90%</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A≥110%</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48</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90% &lt; A ≤  96%</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104% ≤ A ＜ 110%</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52</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96% &lt; A ≤  98%</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102% ≤ A ＜ 104%</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56</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xml:space="preserve">98% &lt; A ＜ 102% </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60</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numPr>
          <w:ilvl w:val="0"/>
          <w:numId w:val="8"/>
        </w:num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tabs>
          <w:tab w:val="left" w:pos="801"/>
        </w:tabs>
        <w:ind w:firstLine="0" w:firstLineChars="0"/>
        <w:rPr>
          <w:b/>
          <w:bCs/>
          <w:sz w:val="36"/>
          <w:szCs w:val="36"/>
        </w:rPr>
      </w:pPr>
    </w:p>
    <w:p>
      <w:pPr>
        <w:tabs>
          <w:tab w:val="left" w:pos="801"/>
        </w:tabs>
        <w:ind w:firstLine="0" w:firstLineChars="0"/>
        <w:jc w:val="left"/>
        <w:rPr>
          <w:b/>
          <w:bCs/>
        </w:rPr>
      </w:pPr>
      <w:r>
        <w:rPr>
          <w:rFonts w:hint="eastAsia"/>
          <w:b/>
          <w:bCs/>
        </w:rPr>
        <w:t>一、确保安全生产的技术组织要求: </w:t>
      </w:r>
    </w:p>
    <w:p>
      <w:pPr>
        <w:tabs>
          <w:tab w:val="left" w:pos="801"/>
        </w:tabs>
        <w:ind w:firstLine="420" w:firstLineChars="0"/>
        <w:jc w:val="left"/>
      </w:pPr>
      <w:r>
        <w:rPr>
          <w:rFonts w:hint="eastAsia"/>
        </w:rPr>
        <w:t xml:space="preserve">1、确立安全目标：无重大伤亡事故。  </w:t>
      </w:r>
    </w:p>
    <w:p>
      <w:pPr>
        <w:tabs>
          <w:tab w:val="left" w:pos="801"/>
        </w:tabs>
        <w:ind w:firstLine="420" w:firstLineChars="0"/>
        <w:jc w:val="left"/>
      </w:pPr>
      <w:r>
        <w:rPr>
          <w:rFonts w:hint="eastAsia"/>
        </w:rPr>
        <w:t>2、安全生产基本规范：严格执行杭州市拆除工程有关各项制度及措施。 </w:t>
      </w:r>
    </w:p>
    <w:p>
      <w:pPr>
        <w:tabs>
          <w:tab w:val="left" w:pos="801"/>
        </w:tabs>
        <w:ind w:firstLine="420" w:firstLineChars="0"/>
        <w:jc w:val="left"/>
      </w:pPr>
      <w:r>
        <w:rPr>
          <w:rFonts w:hint="eastAsia"/>
        </w:rPr>
        <w:t xml:space="preserve">3、安全生产措施：  </w:t>
      </w:r>
    </w:p>
    <w:p>
      <w:pPr>
        <w:tabs>
          <w:tab w:val="left" w:pos="801"/>
        </w:tabs>
        <w:ind w:firstLine="420" w:firstLineChars="0"/>
        <w:jc w:val="left"/>
      </w:pPr>
      <w:r>
        <w:rPr>
          <w:rFonts w:hint="eastAsia"/>
        </w:rPr>
        <w:t xml:space="preserve">（1）建立由项目经理领导的安全生产管理网络，对安全实行重点横向到边，纵向到底的层层管理，做到责任落实到人。  </w:t>
      </w:r>
    </w:p>
    <w:p>
      <w:pPr>
        <w:tabs>
          <w:tab w:val="left" w:pos="801"/>
        </w:tabs>
        <w:ind w:firstLine="420" w:firstLineChars="0"/>
        <w:jc w:val="left"/>
      </w:pPr>
      <w:r>
        <w:rPr>
          <w:rFonts w:hint="eastAsia"/>
        </w:rPr>
        <w:t xml:space="preserve">（2）对项目全面分析，确定安全关键控制点及薄弱环节进行重点管理，形成点面结合的管理模式。  </w:t>
      </w:r>
    </w:p>
    <w:p>
      <w:pPr>
        <w:tabs>
          <w:tab w:val="left" w:pos="801"/>
        </w:tabs>
        <w:ind w:firstLine="420" w:firstLineChars="0"/>
        <w:jc w:val="left"/>
      </w:pPr>
      <w:r>
        <w:rPr>
          <w:rFonts w:hint="eastAsia"/>
        </w:rPr>
        <w:t>（3）加强对参加职工的安全思想教育，自觉进行安全操作规程的学习。 </w:t>
      </w:r>
    </w:p>
    <w:p>
      <w:pPr>
        <w:tabs>
          <w:tab w:val="left" w:pos="801"/>
        </w:tabs>
        <w:ind w:firstLine="420" w:firstLineChars="0"/>
        <w:jc w:val="left"/>
      </w:pPr>
      <w:r>
        <w:rPr>
          <w:rFonts w:hint="eastAsia"/>
        </w:rPr>
        <w:t>（4）场内设立的安全警告牌等，开展现场安全生产大宣传，造成安全处受控制状态的气氛。</w:t>
      </w:r>
    </w:p>
    <w:p>
      <w:pPr>
        <w:tabs>
          <w:tab w:val="left" w:pos="801"/>
        </w:tabs>
        <w:ind w:firstLine="420" w:firstLineChars="0"/>
        <w:jc w:val="left"/>
      </w:pPr>
      <w:r>
        <w:rPr>
          <w:rFonts w:hint="eastAsia"/>
        </w:rPr>
        <w:t xml:space="preserve">（5）执行安全生产责任制、安全检查制、实行安全交底制、严格执行安全上岗位制度，特种工程必须持证上岗及事故报告制度。  </w:t>
      </w:r>
    </w:p>
    <w:p>
      <w:pPr>
        <w:tabs>
          <w:tab w:val="left" w:pos="801"/>
        </w:tabs>
        <w:ind w:firstLine="420" w:firstLineChars="0"/>
        <w:jc w:val="left"/>
      </w:pPr>
      <w:r>
        <w:rPr>
          <w:rFonts w:hint="eastAsia"/>
        </w:rPr>
        <w:t>（6）注意工地用电安全，专业电工不定期检查线路、电箱等用电设施。 </w:t>
      </w:r>
    </w:p>
    <w:p>
      <w:pPr>
        <w:tabs>
          <w:tab w:val="left" w:pos="801"/>
        </w:tabs>
        <w:ind w:firstLine="420" w:firstLineChars="0"/>
        <w:jc w:val="left"/>
      </w:pPr>
      <w:r>
        <w:rPr>
          <w:rFonts w:hint="eastAsia"/>
        </w:rPr>
        <w:t xml:space="preserve">（7）分部分项工程安全技术交底进行全面的针对性安全技术交底，受交底者履行签字手续。  </w:t>
      </w:r>
    </w:p>
    <w:p>
      <w:pPr>
        <w:tabs>
          <w:tab w:val="left" w:pos="801"/>
        </w:tabs>
        <w:ind w:firstLine="420" w:firstLineChars="0"/>
        <w:jc w:val="left"/>
      </w:pPr>
      <w:r>
        <w:rPr>
          <w:rFonts w:hint="eastAsia"/>
        </w:rPr>
        <w:t>（8）特种工持证上岗，特种作业人员必须培训考试合格后持证上岗。 </w:t>
      </w:r>
    </w:p>
    <w:p>
      <w:pPr>
        <w:tabs>
          <w:tab w:val="left" w:pos="801"/>
        </w:tabs>
        <w:ind w:firstLine="420" w:firstLineChars="0"/>
        <w:jc w:val="left"/>
      </w:pPr>
      <w:r>
        <w:rPr>
          <w:rFonts w:hint="eastAsia"/>
        </w:rPr>
        <w:t>（9）项目部应对从事危险作业人员做好保险工作。 </w:t>
      </w:r>
    </w:p>
    <w:p>
      <w:pPr>
        <w:tabs>
          <w:tab w:val="left" w:pos="801"/>
        </w:tabs>
        <w:ind w:firstLine="420" w:firstLineChars="0"/>
        <w:jc w:val="left"/>
      </w:pPr>
      <w:r>
        <w:rPr>
          <w:rFonts w:hint="eastAsia"/>
        </w:rPr>
        <w:t xml:space="preserve">（10）遵守守纪，严禁违章指挥、违章作业。  </w:t>
      </w:r>
    </w:p>
    <w:p>
      <w:pPr>
        <w:tabs>
          <w:tab w:val="left" w:pos="801"/>
        </w:tabs>
        <w:ind w:firstLine="420" w:firstLineChars="0"/>
        <w:jc w:val="left"/>
      </w:pPr>
      <w:r>
        <w:rPr>
          <w:rFonts w:hint="eastAsia"/>
        </w:rPr>
        <w:t>（11）机组人员上岗操作的安全技术交底书、机械房屋定期检查。</w:t>
      </w:r>
    </w:p>
    <w:p>
      <w:pPr>
        <w:tabs>
          <w:tab w:val="left" w:pos="801"/>
        </w:tabs>
        <w:ind w:firstLine="420" w:firstLineChars="0"/>
        <w:jc w:val="left"/>
      </w:pPr>
      <w:r>
        <w:rPr>
          <w:rFonts w:hint="eastAsia"/>
        </w:rPr>
        <w:t xml:space="preserve">（12）施工单位应当在施工现场显著位置设置施工单位告示牌、房屋拆除安 全生产和文明施工牌，标明工程项目名称、建设单位、施工单位和项目负责人等内容。  </w:t>
      </w:r>
    </w:p>
    <w:p>
      <w:pPr>
        <w:tabs>
          <w:tab w:val="left" w:pos="801"/>
        </w:tabs>
        <w:ind w:firstLine="420" w:firstLineChars="0"/>
        <w:jc w:val="left"/>
      </w:pPr>
      <w:r>
        <w:rPr>
          <w:rFonts w:hint="eastAsia"/>
        </w:rPr>
        <w:t>（13）施工单位应当划定施工危险区域，在危险部位设置明显的安全警告标志，做好安全防护工作。夜间作业应当设置警示灯光，采取必要的安全防护措施。</w:t>
      </w:r>
    </w:p>
    <w:p>
      <w:pPr>
        <w:tabs>
          <w:tab w:val="left" w:pos="801"/>
        </w:tabs>
        <w:ind w:firstLine="0" w:firstLineChars="0"/>
        <w:jc w:val="left"/>
        <w:rPr>
          <w:b/>
          <w:bCs/>
        </w:rPr>
      </w:pPr>
      <w:r>
        <w:rPr>
          <w:rFonts w:hint="eastAsia"/>
          <w:b/>
          <w:bCs/>
        </w:rPr>
        <w:t xml:space="preserve">二、确保工程质量的技术组织要求  </w:t>
      </w:r>
    </w:p>
    <w:p>
      <w:pPr>
        <w:tabs>
          <w:tab w:val="left" w:pos="801"/>
        </w:tabs>
        <w:ind w:firstLine="420" w:firstLineChars="0"/>
        <w:jc w:val="left"/>
      </w:pPr>
      <w:r>
        <w:rPr>
          <w:rFonts w:hint="eastAsia"/>
        </w:rPr>
        <w:t>本工程设立现场项目部，作为本工程驻现场的指挥机构。项目主管负责全权处理整个工程拆除中的各项事物，接受招标人的指令，并严格执行，统筹安排施工生产，保证工程进度，按计划竣工。工程项目部必须做好以下工作： </w:t>
      </w:r>
    </w:p>
    <w:p>
      <w:pPr>
        <w:numPr>
          <w:ilvl w:val="0"/>
          <w:numId w:val="9"/>
        </w:numPr>
        <w:tabs>
          <w:tab w:val="left" w:pos="801"/>
        </w:tabs>
        <w:ind w:firstLine="420"/>
        <w:jc w:val="left"/>
      </w:pPr>
      <w:r>
        <w:rPr>
          <w:rFonts w:hint="eastAsia"/>
        </w:rPr>
        <w:t>严格按照招标文件、有关规定、规范，工程合同的要求组织施工。 </w:t>
      </w:r>
    </w:p>
    <w:p>
      <w:pPr>
        <w:tabs>
          <w:tab w:val="left" w:pos="801"/>
        </w:tabs>
        <w:ind w:firstLine="420" w:firstLineChars="0"/>
        <w:jc w:val="left"/>
      </w:pPr>
      <w:r>
        <w:rPr>
          <w:rFonts w:hint="eastAsia"/>
        </w:rPr>
        <w:t xml:space="preserve">2、不定期举行工程例会，由项目主管主持，各部门负责人及施工组负责人共同参加，检查生产情况，布置下一步的施工工作。  </w:t>
      </w:r>
    </w:p>
    <w:p>
      <w:pPr>
        <w:tabs>
          <w:tab w:val="left" w:pos="801"/>
        </w:tabs>
        <w:ind w:firstLine="420" w:firstLineChars="0"/>
        <w:jc w:val="left"/>
      </w:pPr>
      <w:r>
        <w:rPr>
          <w:rFonts w:hint="eastAsia"/>
        </w:rPr>
        <w:t xml:space="preserve">3、岗位职责明确，各岗位人员必须严格履行各自的岗位职责，对项目负责 ，确保实现项目部的各种施工任务。  </w:t>
      </w:r>
    </w:p>
    <w:p>
      <w:pPr>
        <w:tabs>
          <w:tab w:val="left" w:pos="801"/>
        </w:tabs>
        <w:ind w:firstLine="420" w:firstLineChars="0"/>
        <w:jc w:val="left"/>
      </w:pPr>
      <w:r>
        <w:rPr>
          <w:rFonts w:hint="eastAsia"/>
        </w:rPr>
        <w:t xml:space="preserve">4、定期组织有关人员对工程进度、工程质量、文明施工、安全生、治安保卫等进行检查。   </w:t>
      </w:r>
    </w:p>
    <w:p>
      <w:pPr>
        <w:tabs>
          <w:tab w:val="left" w:pos="801"/>
        </w:tabs>
        <w:ind w:firstLine="0" w:firstLineChars="0"/>
        <w:jc w:val="left"/>
      </w:pPr>
      <w:r>
        <w:rPr>
          <w:rFonts w:hint="eastAsia"/>
          <w:b/>
          <w:bCs/>
        </w:rPr>
        <w:t>三、确保文明施工的技术组织要求：</w:t>
      </w:r>
      <w:r>
        <w:rPr>
          <w:rFonts w:hint="eastAsia"/>
        </w:rPr>
        <w:t xml:space="preserve">  </w:t>
      </w:r>
    </w:p>
    <w:p>
      <w:pPr>
        <w:tabs>
          <w:tab w:val="left" w:pos="801"/>
        </w:tabs>
        <w:ind w:firstLine="420" w:firstLineChars="0"/>
        <w:jc w:val="left"/>
      </w:pPr>
      <w:r>
        <w:rPr>
          <w:rFonts w:hint="eastAsia"/>
        </w:rPr>
        <w:t>1、施工现场文明施工管理执行场容管理规定，文明施工负责管理。 </w:t>
      </w:r>
    </w:p>
    <w:p>
      <w:pPr>
        <w:tabs>
          <w:tab w:val="left" w:pos="801"/>
        </w:tabs>
        <w:ind w:firstLine="420" w:firstLineChars="0"/>
        <w:jc w:val="left"/>
      </w:pPr>
      <w:r>
        <w:rPr>
          <w:rFonts w:hint="eastAsia"/>
        </w:rPr>
        <w:t xml:space="preserve">2、操作地点周围要做到整洁。  </w:t>
      </w:r>
    </w:p>
    <w:p>
      <w:pPr>
        <w:tabs>
          <w:tab w:val="left" w:pos="801"/>
        </w:tabs>
        <w:ind w:firstLine="420" w:firstLineChars="0"/>
        <w:jc w:val="left"/>
      </w:pPr>
      <w:r>
        <w:rPr>
          <w:rFonts w:hint="eastAsia"/>
        </w:rPr>
        <w:t xml:space="preserve">3、加强现场文明施工，坚决贯彻“安全第一，预防为主”的方针，严格执行安全施工六大纪律等有关安全规章制度。  </w:t>
      </w:r>
    </w:p>
    <w:p>
      <w:pPr>
        <w:tabs>
          <w:tab w:val="left" w:pos="801"/>
        </w:tabs>
        <w:ind w:firstLine="420" w:firstLineChars="0"/>
        <w:jc w:val="left"/>
      </w:pPr>
      <w:r>
        <w:rPr>
          <w:rFonts w:hint="eastAsia"/>
        </w:rPr>
        <w:t xml:space="preserve">4、施工现场堆放的材料要整齐，以免影响地区景观。  </w:t>
      </w:r>
    </w:p>
    <w:p>
      <w:pPr>
        <w:tabs>
          <w:tab w:val="left" w:pos="801"/>
        </w:tabs>
        <w:ind w:firstLine="420" w:firstLineChars="0"/>
        <w:jc w:val="left"/>
      </w:pPr>
      <w:r>
        <w:rPr>
          <w:rFonts w:hint="eastAsia"/>
        </w:rPr>
        <w:t xml:space="preserve">5、施工机械及电气房屋须符合使用安全规程，非专业人员不得随意操作。  </w:t>
      </w:r>
    </w:p>
    <w:p>
      <w:pPr>
        <w:tabs>
          <w:tab w:val="left" w:pos="801"/>
        </w:tabs>
        <w:ind w:firstLine="420" w:firstLineChars="0"/>
        <w:jc w:val="left"/>
      </w:pPr>
      <w:r>
        <w:rPr>
          <w:rFonts w:hint="eastAsia"/>
        </w:rPr>
        <w:t xml:space="preserve">6、施工现场用的临时电力系统，严禁用零线等，并须在房屋负载线的首端处加设漏电保护装置。  </w:t>
      </w:r>
    </w:p>
    <w:p>
      <w:pPr>
        <w:tabs>
          <w:tab w:val="left" w:pos="801"/>
        </w:tabs>
        <w:ind w:firstLine="420" w:firstLineChars="0"/>
        <w:jc w:val="left"/>
      </w:pPr>
      <w:r>
        <w:rPr>
          <w:rFonts w:hint="eastAsia"/>
        </w:rPr>
        <w:t>7、加强施工现场治安综合治理，做到目标管理、制度落实、责任到人。施工现场治安防范措施有力，重点要害部位防范设施有效到位。 </w:t>
      </w:r>
    </w:p>
    <w:p>
      <w:pPr>
        <w:tabs>
          <w:tab w:val="left" w:pos="801"/>
        </w:tabs>
        <w:ind w:firstLine="0" w:firstLineChars="0"/>
        <w:jc w:val="left"/>
      </w:pPr>
      <w:r>
        <w:rPr>
          <w:rFonts w:hint="eastAsia"/>
          <w:b/>
          <w:bCs/>
        </w:rPr>
        <w:t xml:space="preserve">四、确保工期的技术组织要求：  </w:t>
      </w:r>
    </w:p>
    <w:p>
      <w:pPr>
        <w:tabs>
          <w:tab w:val="left" w:pos="801"/>
        </w:tabs>
        <w:ind w:firstLine="420" w:firstLineChars="0"/>
        <w:jc w:val="left"/>
      </w:pPr>
      <w:r>
        <w:rPr>
          <w:rFonts w:hint="eastAsia"/>
        </w:rPr>
        <w:t>1、进场准备：组织人员安排好办公用房和民工宿舍，并落实临时用水、电。 </w:t>
      </w:r>
    </w:p>
    <w:p>
      <w:pPr>
        <w:tabs>
          <w:tab w:val="left" w:pos="801"/>
        </w:tabs>
        <w:ind w:firstLine="420" w:firstLineChars="0"/>
        <w:jc w:val="left"/>
      </w:pPr>
      <w:r>
        <w:rPr>
          <w:rFonts w:hint="eastAsia"/>
        </w:rPr>
        <w:t>2、进场后，根据具体情况，分成若干个小组展开拆除任务。</w:t>
      </w:r>
    </w:p>
    <w:p>
      <w:pPr>
        <w:ind w:firstLine="0" w:firstLineChars="0"/>
        <w:jc w:val="center"/>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0D3AC"/>
    <w:multiLevelType w:val="singleLevel"/>
    <w:tmpl w:val="F6B0D3AC"/>
    <w:lvl w:ilvl="0" w:tentative="0">
      <w:start w:val="7"/>
      <w:numFmt w:val="chineseCounting"/>
      <w:suff w:val="space"/>
      <w:lvlText w:val="第%1章"/>
      <w:lvlJc w:val="left"/>
      <w:rPr>
        <w:rFonts w:hint="eastAsia"/>
      </w:r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2EA70852"/>
    <w:multiLevelType w:val="multilevel"/>
    <w:tmpl w:val="2EA708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6">
    <w:nsid w:val="5DC3CEF4"/>
    <w:multiLevelType w:val="singleLevel"/>
    <w:tmpl w:val="5DC3CEF4"/>
    <w:lvl w:ilvl="0" w:tentative="0">
      <w:start w:val="1"/>
      <w:numFmt w:val="decimal"/>
      <w:suff w:val="nothing"/>
      <w:lvlText w:val="%1、"/>
      <w:lvlJc w:val="left"/>
    </w:lvl>
  </w:abstractNum>
  <w:abstractNum w:abstractNumId="7">
    <w:nsid w:val="619AB01E"/>
    <w:multiLevelType w:val="singleLevel"/>
    <w:tmpl w:val="619AB01E"/>
    <w:lvl w:ilvl="0" w:tentative="0">
      <w:start w:val="1"/>
      <w:numFmt w:val="decimal"/>
      <w:suff w:val="nothing"/>
      <w:lvlText w:val="%1、"/>
      <w:lvlJc w:val="left"/>
    </w:lvl>
  </w:abstractNum>
  <w:abstractNum w:abstractNumId="8">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90"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2"/>
  </w:num>
  <w:num w:numId="3">
    <w:abstractNumId w:val="4"/>
  </w:num>
  <w:num w:numId="4">
    <w:abstractNumId w:val="7"/>
  </w:num>
  <w:num w:numId="5">
    <w:abstractNumId w:val="3"/>
  </w:num>
  <w:num w:numId="6">
    <w:abstractNumId w:val="5"/>
  </w:num>
  <w:num w:numId="7">
    <w:abstractNumId w:val="1"/>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228E"/>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295D"/>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4FB3"/>
    <w:rsid w:val="00115E2C"/>
    <w:rsid w:val="00115F85"/>
    <w:rsid w:val="001225C6"/>
    <w:rsid w:val="00123F87"/>
    <w:rsid w:val="001248FF"/>
    <w:rsid w:val="00130478"/>
    <w:rsid w:val="001317B8"/>
    <w:rsid w:val="00134AA1"/>
    <w:rsid w:val="0013691A"/>
    <w:rsid w:val="00142CF3"/>
    <w:rsid w:val="00143DB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7AA4"/>
    <w:rsid w:val="0024056B"/>
    <w:rsid w:val="0024127F"/>
    <w:rsid w:val="00246A49"/>
    <w:rsid w:val="00250C12"/>
    <w:rsid w:val="00251671"/>
    <w:rsid w:val="00253692"/>
    <w:rsid w:val="00254306"/>
    <w:rsid w:val="00256DF3"/>
    <w:rsid w:val="0025795A"/>
    <w:rsid w:val="00257FA6"/>
    <w:rsid w:val="00261758"/>
    <w:rsid w:val="0026343E"/>
    <w:rsid w:val="00263734"/>
    <w:rsid w:val="00270DDF"/>
    <w:rsid w:val="00274774"/>
    <w:rsid w:val="00274B30"/>
    <w:rsid w:val="00276BFD"/>
    <w:rsid w:val="00280F39"/>
    <w:rsid w:val="00283884"/>
    <w:rsid w:val="0028466E"/>
    <w:rsid w:val="00284C4E"/>
    <w:rsid w:val="00285D7C"/>
    <w:rsid w:val="002871CA"/>
    <w:rsid w:val="002928BF"/>
    <w:rsid w:val="00292E4D"/>
    <w:rsid w:val="002948FF"/>
    <w:rsid w:val="00295C35"/>
    <w:rsid w:val="002A02C8"/>
    <w:rsid w:val="002A18F5"/>
    <w:rsid w:val="002A2052"/>
    <w:rsid w:val="002B0290"/>
    <w:rsid w:val="002B077E"/>
    <w:rsid w:val="002B1EA9"/>
    <w:rsid w:val="002B3BDF"/>
    <w:rsid w:val="002B3F33"/>
    <w:rsid w:val="002B4EF3"/>
    <w:rsid w:val="002B555F"/>
    <w:rsid w:val="002B6167"/>
    <w:rsid w:val="002B61E7"/>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C5F47"/>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A57"/>
    <w:rsid w:val="00593815"/>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46E7"/>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6200"/>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CD6"/>
    <w:rsid w:val="007D065A"/>
    <w:rsid w:val="007D7EA2"/>
    <w:rsid w:val="007E2630"/>
    <w:rsid w:val="007E3AED"/>
    <w:rsid w:val="007E60F7"/>
    <w:rsid w:val="007E6FFB"/>
    <w:rsid w:val="007F2CF3"/>
    <w:rsid w:val="007F3719"/>
    <w:rsid w:val="007F473B"/>
    <w:rsid w:val="007F60AE"/>
    <w:rsid w:val="007F7F54"/>
    <w:rsid w:val="008049D3"/>
    <w:rsid w:val="00804F5E"/>
    <w:rsid w:val="00810C77"/>
    <w:rsid w:val="008120F4"/>
    <w:rsid w:val="00813690"/>
    <w:rsid w:val="008153CF"/>
    <w:rsid w:val="00821837"/>
    <w:rsid w:val="008233CA"/>
    <w:rsid w:val="00831F84"/>
    <w:rsid w:val="00832843"/>
    <w:rsid w:val="00835DFD"/>
    <w:rsid w:val="00836D21"/>
    <w:rsid w:val="00841ED7"/>
    <w:rsid w:val="00844A0C"/>
    <w:rsid w:val="00845316"/>
    <w:rsid w:val="008505D4"/>
    <w:rsid w:val="00851355"/>
    <w:rsid w:val="00851859"/>
    <w:rsid w:val="0085215E"/>
    <w:rsid w:val="00852EF1"/>
    <w:rsid w:val="008553E3"/>
    <w:rsid w:val="00857801"/>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0665"/>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0B47"/>
    <w:rsid w:val="00961272"/>
    <w:rsid w:val="00962CD5"/>
    <w:rsid w:val="00964285"/>
    <w:rsid w:val="0096469E"/>
    <w:rsid w:val="00966C28"/>
    <w:rsid w:val="0096752F"/>
    <w:rsid w:val="00972C81"/>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7327"/>
    <w:rsid w:val="009A755A"/>
    <w:rsid w:val="009B17DF"/>
    <w:rsid w:val="009B2BDF"/>
    <w:rsid w:val="009B2EF4"/>
    <w:rsid w:val="009B4AD1"/>
    <w:rsid w:val="009B4E1D"/>
    <w:rsid w:val="009C6D4F"/>
    <w:rsid w:val="009C6DF7"/>
    <w:rsid w:val="009D0713"/>
    <w:rsid w:val="009D24E4"/>
    <w:rsid w:val="009D392F"/>
    <w:rsid w:val="009D5B3F"/>
    <w:rsid w:val="009E3C81"/>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636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547B"/>
    <w:rsid w:val="00B17C8A"/>
    <w:rsid w:val="00B17D6F"/>
    <w:rsid w:val="00B2020B"/>
    <w:rsid w:val="00B20369"/>
    <w:rsid w:val="00B2041B"/>
    <w:rsid w:val="00B20962"/>
    <w:rsid w:val="00B21671"/>
    <w:rsid w:val="00B23488"/>
    <w:rsid w:val="00B23DB8"/>
    <w:rsid w:val="00B26594"/>
    <w:rsid w:val="00B271E2"/>
    <w:rsid w:val="00B27A50"/>
    <w:rsid w:val="00B3195E"/>
    <w:rsid w:val="00B33587"/>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7204"/>
    <w:rsid w:val="00BB1A69"/>
    <w:rsid w:val="00BB21AC"/>
    <w:rsid w:val="00BB53DC"/>
    <w:rsid w:val="00BB5812"/>
    <w:rsid w:val="00BC292F"/>
    <w:rsid w:val="00BC3890"/>
    <w:rsid w:val="00BC6C04"/>
    <w:rsid w:val="00BD2F4E"/>
    <w:rsid w:val="00BD4A55"/>
    <w:rsid w:val="00BD4CC8"/>
    <w:rsid w:val="00BD5883"/>
    <w:rsid w:val="00BD65D0"/>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97059"/>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10A3"/>
    <w:rsid w:val="00D01386"/>
    <w:rsid w:val="00D0366C"/>
    <w:rsid w:val="00D037F5"/>
    <w:rsid w:val="00D04901"/>
    <w:rsid w:val="00D053FA"/>
    <w:rsid w:val="00D10CB4"/>
    <w:rsid w:val="00D12CA4"/>
    <w:rsid w:val="00D16297"/>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D26"/>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 w:val="02ED32AF"/>
    <w:rsid w:val="05300D86"/>
    <w:rsid w:val="06C47C15"/>
    <w:rsid w:val="08034333"/>
    <w:rsid w:val="08F2616A"/>
    <w:rsid w:val="103E033D"/>
    <w:rsid w:val="13007E35"/>
    <w:rsid w:val="14BA0B42"/>
    <w:rsid w:val="15C502C3"/>
    <w:rsid w:val="18423229"/>
    <w:rsid w:val="19EE38D7"/>
    <w:rsid w:val="22323930"/>
    <w:rsid w:val="24012EC8"/>
    <w:rsid w:val="249D0BEF"/>
    <w:rsid w:val="285D0697"/>
    <w:rsid w:val="2D1738A8"/>
    <w:rsid w:val="307613DA"/>
    <w:rsid w:val="309C4CEF"/>
    <w:rsid w:val="31FC7FC8"/>
    <w:rsid w:val="387F1807"/>
    <w:rsid w:val="395E331A"/>
    <w:rsid w:val="3D736510"/>
    <w:rsid w:val="3DEA5C47"/>
    <w:rsid w:val="3E0E3A08"/>
    <w:rsid w:val="407C30CB"/>
    <w:rsid w:val="41E54BAC"/>
    <w:rsid w:val="4AE41290"/>
    <w:rsid w:val="4F4A04E5"/>
    <w:rsid w:val="517208AF"/>
    <w:rsid w:val="543F1820"/>
    <w:rsid w:val="55887B83"/>
    <w:rsid w:val="55F62760"/>
    <w:rsid w:val="5F9B56F6"/>
    <w:rsid w:val="6D916442"/>
    <w:rsid w:val="6E105369"/>
    <w:rsid w:val="71E62407"/>
    <w:rsid w:val="777F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qFormat/>
    <w:uiPriority w:val="0"/>
    <w:rPr>
      <w:rFonts w:ascii="Arial" w:hAnsi="Arial"/>
      <w:snapToGrid w:val="0"/>
      <w:sz w:val="24"/>
      <w:szCs w:val="24"/>
      <w:lang w:bidi="ar-SA"/>
    </w:rPr>
  </w:style>
  <w:style w:type="character" w:customStyle="1" w:styleId="46">
    <w:name w:val="标题 8 字符"/>
    <w:link w:val="9"/>
    <w:qFormat/>
    <w:uiPriority w:val="0"/>
    <w:rPr>
      <w:rFonts w:ascii="Arial" w:hAnsi="Arial"/>
      <w:snapToGrid w:val="0"/>
      <w:sz w:val="24"/>
      <w:szCs w:val="24"/>
      <w:lang w:bidi="ar-SA"/>
    </w:rPr>
  </w:style>
  <w:style w:type="character" w:customStyle="1" w:styleId="47">
    <w:name w:val="标题 7 字符"/>
    <w:link w:val="8"/>
    <w:qFormat/>
    <w:uiPriority w:val="0"/>
    <w:rPr>
      <w:color w:val="FF0000"/>
      <w:kern w:val="2"/>
      <w:sz w:val="21"/>
      <w:szCs w:val="24"/>
      <w:lang w:bidi="ar-SA"/>
    </w:rPr>
  </w:style>
  <w:style w:type="character" w:customStyle="1" w:styleId="48">
    <w:name w:val="标题 6 字符"/>
    <w:link w:val="7"/>
    <w:qFormat/>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lang w:bidi="ar-SA"/>
    </w:rPr>
  </w:style>
  <w:style w:type="character" w:customStyle="1" w:styleId="50">
    <w:name w:val="标题 4 字符"/>
    <w:link w:val="5"/>
    <w:qFormat/>
    <w:uiPriority w:val="0"/>
    <w:rPr>
      <w:rFonts w:ascii="宋体" w:hAnsi="宋体"/>
      <w:b/>
      <w:bCs/>
      <w:snapToGrid w:val="0"/>
      <w:sz w:val="21"/>
      <w:szCs w:val="21"/>
      <w:lang w:bidi="ar-SA"/>
    </w:rPr>
  </w:style>
  <w:style w:type="character" w:customStyle="1" w:styleId="51">
    <w:name w:val="标题 3 字符"/>
    <w:link w:val="4"/>
    <w:qFormat/>
    <w:uiPriority w:val="0"/>
    <w:rPr>
      <w:rFonts w:ascii="宋体" w:hAnsi="宋体"/>
      <w:b/>
      <w:bCs/>
      <w:snapToGrid w:val="0"/>
      <w:sz w:val="24"/>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字符"/>
    <w:link w:val="84"/>
    <w:qFormat/>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字符"/>
    <w:link w:val="86"/>
    <w:qFormat/>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字符"/>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DC498-02AB-47B4-9440-03C9484871E3}">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3239</Words>
  <Characters>18466</Characters>
  <Lines>153</Lines>
  <Paragraphs>43</Paragraphs>
  <TotalTime>0</TotalTime>
  <ScaleCrop>false</ScaleCrop>
  <LinksUpToDate>false</LinksUpToDate>
  <CharactersWithSpaces>21662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2019-12-30T02:20:00Z</dcterms:created>
  <dc:creator>中招</dc:creator>
  <cp:lastModifiedBy>武盼</cp:lastModifiedBy>
  <cp:lastPrinted>2019-06-21T00:49:00Z</cp:lastPrinted>
  <dcterms:modified xsi:type="dcterms:W3CDTF">2020-08-11T02:51:50Z</dcterms:modified>
  <dc:title>工程编号：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