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附表一、资格性审查评审表</w:t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66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6660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资格性审查条件</w:t>
            </w:r>
          </w:p>
        </w:tc>
        <w:tc>
          <w:tcPr>
            <w:tcW w:w="137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评审结论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660" w:type="dxa"/>
            <w:vAlign w:val="center"/>
          </w:tcPr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企业法人营业执照（复印件加盖公章）</w:t>
            </w:r>
          </w:p>
        </w:tc>
        <w:tc>
          <w:tcPr>
            <w:tcW w:w="137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660" w:type="dxa"/>
            <w:vAlign w:val="center"/>
          </w:tcPr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具有类似</w:t>
            </w:r>
            <w:r>
              <w:rPr>
                <w:rFonts w:ascii="宋体" w:hAnsi="宋体"/>
                <w:color w:val="000000"/>
                <w:sz w:val="24"/>
              </w:rPr>
              <w:t>项目业绩</w:t>
            </w:r>
            <w:r>
              <w:rPr>
                <w:rFonts w:hint="eastAsia" w:ascii="宋体" w:hAnsi="宋体"/>
                <w:color w:val="000000"/>
                <w:sz w:val="24"/>
              </w:rPr>
              <w:t>（复印件加盖公章）</w:t>
            </w:r>
          </w:p>
        </w:tc>
        <w:tc>
          <w:tcPr>
            <w:tcW w:w="137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6660" w:type="dxa"/>
            <w:vAlign w:val="center"/>
          </w:tcPr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在经营活动中没有重大违法记录</w:t>
            </w:r>
          </w:p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出具加盖法人公章和法人代表签字或盖章的承诺证明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</w:tc>
        <w:tc>
          <w:tcPr>
            <w:tcW w:w="137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8"/>
        <w:spacing w:before="240" w:line="360" w:lineRule="auto"/>
        <w:rPr>
          <w:rFonts w:hAnsi="宋体"/>
          <w:color w:val="000000"/>
          <w:sz w:val="24"/>
          <w:szCs w:val="24"/>
        </w:rPr>
      </w:pPr>
    </w:p>
    <w:p>
      <w:pPr>
        <w:pStyle w:val="8"/>
        <w:spacing w:before="240" w:line="360" w:lineRule="auto"/>
        <w:jc w:val="center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附表二、符合性审查评审表</w:t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64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6641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符合性完整性条件</w:t>
            </w:r>
          </w:p>
        </w:tc>
        <w:tc>
          <w:tcPr>
            <w:tcW w:w="1391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评审结论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641" w:type="dxa"/>
            <w:vAlign w:val="center"/>
          </w:tcPr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谈判</w:t>
            </w:r>
            <w:r>
              <w:rPr>
                <w:rFonts w:hint="eastAsia" w:ascii="宋体" w:hAnsi="宋体"/>
                <w:color w:val="000000"/>
                <w:sz w:val="24"/>
              </w:rPr>
              <w:t>文件中的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谈判</w:t>
            </w:r>
            <w:r>
              <w:rPr>
                <w:rFonts w:hint="eastAsia" w:ascii="宋体" w:hAnsi="宋体"/>
                <w:color w:val="000000"/>
                <w:sz w:val="24"/>
              </w:rPr>
              <w:t>函均有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/>
                <w:color w:val="000000"/>
                <w:sz w:val="24"/>
              </w:rPr>
              <w:t>人公章（有效签署）、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/>
                <w:color w:val="000000"/>
                <w:sz w:val="24"/>
              </w:rPr>
              <w:t>人的法定代表人有效签章的；或者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/>
                <w:color w:val="000000"/>
                <w:sz w:val="24"/>
              </w:rPr>
              <w:t>人的法定代表人授权委托人有效、合法、附有有效授权委托书原件</w:t>
            </w:r>
          </w:p>
        </w:tc>
        <w:tc>
          <w:tcPr>
            <w:tcW w:w="1391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641" w:type="dxa"/>
            <w:vAlign w:val="center"/>
          </w:tcPr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谈判</w:t>
            </w:r>
            <w:r>
              <w:rPr>
                <w:rFonts w:hint="eastAsia" w:ascii="宋体" w:hAnsi="宋体"/>
                <w:color w:val="000000"/>
                <w:sz w:val="24"/>
              </w:rPr>
              <w:t>文件中标明的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/>
                <w:color w:val="000000"/>
                <w:sz w:val="24"/>
              </w:rPr>
              <w:t>人与报名时的名称和组织结构上无实质性差别的</w:t>
            </w:r>
          </w:p>
        </w:tc>
        <w:tc>
          <w:tcPr>
            <w:tcW w:w="1391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641" w:type="dxa"/>
            <w:vAlign w:val="center"/>
          </w:tcPr>
          <w:p>
            <w:pPr>
              <w:spacing w:before="240"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谈判</w:t>
            </w:r>
            <w:r>
              <w:rPr>
                <w:rFonts w:hint="eastAsia" w:ascii="宋体" w:hAnsi="宋体"/>
                <w:color w:val="000000"/>
                <w:sz w:val="24"/>
              </w:rPr>
              <w:t>文件规定的格式填写，内容全面，完全响应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谈判</w:t>
            </w:r>
            <w:r>
              <w:rPr>
                <w:rFonts w:hint="eastAsia" w:ascii="宋体" w:hAnsi="宋体"/>
                <w:color w:val="000000"/>
                <w:sz w:val="24"/>
              </w:rPr>
              <w:t>文件的实质性要求和条件的</w:t>
            </w:r>
          </w:p>
        </w:tc>
        <w:tc>
          <w:tcPr>
            <w:tcW w:w="1391" w:type="dxa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/>
    <w:p>
      <w:pPr>
        <w:pStyle w:val="8"/>
        <w:spacing w:line="360" w:lineRule="auto"/>
        <w:jc w:val="center"/>
        <w:rPr>
          <w:rFonts w:hAnsi="宋体"/>
          <w:b/>
          <w:bCs/>
          <w:color w:val="000000"/>
          <w:sz w:val="32"/>
          <w:szCs w:val="22"/>
        </w:rPr>
      </w:pPr>
    </w:p>
    <w:p>
      <w:pPr>
        <w:pStyle w:val="8"/>
        <w:spacing w:line="360" w:lineRule="auto"/>
        <w:jc w:val="center"/>
        <w:rPr>
          <w:rFonts w:hAnsi="宋体"/>
          <w:b/>
          <w:bCs/>
          <w:color w:val="000000"/>
          <w:sz w:val="32"/>
          <w:szCs w:val="22"/>
        </w:rPr>
      </w:pPr>
    </w:p>
    <w:p>
      <w:pPr>
        <w:pStyle w:val="8"/>
        <w:spacing w:line="360" w:lineRule="auto"/>
        <w:jc w:val="center"/>
        <w:rPr>
          <w:rFonts w:hAnsi="宋体"/>
          <w:b/>
          <w:bCs/>
          <w:color w:val="000000"/>
          <w:sz w:val="32"/>
          <w:szCs w:val="22"/>
        </w:rPr>
      </w:pPr>
    </w:p>
    <w:p>
      <w:pPr>
        <w:pStyle w:val="8"/>
        <w:spacing w:line="360" w:lineRule="auto"/>
        <w:jc w:val="center"/>
        <w:rPr>
          <w:rFonts w:hAnsi="宋体"/>
          <w:b/>
          <w:bCs/>
          <w:color w:val="000000"/>
          <w:sz w:val="32"/>
          <w:szCs w:val="22"/>
        </w:rPr>
      </w:pPr>
    </w:p>
    <w:p>
      <w:pPr>
        <w:pStyle w:val="8"/>
        <w:spacing w:line="360" w:lineRule="auto"/>
        <w:jc w:val="center"/>
        <w:rPr>
          <w:rFonts w:hAnsi="宋体"/>
          <w:b/>
          <w:bCs/>
          <w:color w:val="000000"/>
          <w:sz w:val="32"/>
          <w:szCs w:val="22"/>
        </w:rPr>
      </w:pPr>
      <w:r>
        <w:rPr>
          <w:rFonts w:hint="eastAsia" w:hAnsi="宋体"/>
          <w:b/>
          <w:bCs/>
          <w:color w:val="000000"/>
          <w:sz w:val="32"/>
          <w:szCs w:val="22"/>
        </w:rPr>
        <w:t>附表三：</w:t>
      </w:r>
      <w:bookmarkStart w:id="0" w:name="_Toc105554172"/>
      <w:r>
        <w:rPr>
          <w:rFonts w:hint="eastAsia" w:hAnsi="宋体"/>
          <w:b/>
          <w:bCs/>
          <w:color w:val="000000"/>
          <w:sz w:val="32"/>
          <w:szCs w:val="22"/>
        </w:rPr>
        <w:t>评标标准及说明</w:t>
      </w:r>
      <w:bookmarkEnd w:id="0"/>
    </w:p>
    <w:p>
      <w:pPr>
        <w:pStyle w:val="2"/>
        <w:spacing w:before="0" w:after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(一) 评标分值分配如下：（共100分）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1、技术部分：80分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（1）企业实力及相关业绩：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 xml:space="preserve">分 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（2）项目团队及技术方案：3</w:t>
      </w: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分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（3）</w:t>
      </w:r>
      <w:r>
        <w:rPr>
          <w:rFonts w:hint="eastAsia" w:ascii="宋体" w:hAnsi="宋体"/>
          <w:color w:val="000000"/>
          <w:sz w:val="24"/>
          <w:lang w:eastAsia="zh-CN"/>
        </w:rPr>
        <w:t>参与</w:t>
      </w:r>
      <w:r>
        <w:rPr>
          <w:rFonts w:hint="eastAsia" w:ascii="宋体" w:hAnsi="宋体"/>
          <w:color w:val="000000"/>
          <w:sz w:val="24"/>
        </w:rPr>
        <w:t>人服务承诺：1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分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（4）项目负责人资料：</w:t>
      </w:r>
      <w:r>
        <w:rPr>
          <w:rFonts w:ascii="宋体" w:hAnsi="宋体"/>
          <w:color w:val="000000"/>
          <w:sz w:val="24"/>
        </w:rPr>
        <w:t>15</w:t>
      </w:r>
      <w:r>
        <w:rPr>
          <w:rFonts w:hint="eastAsia" w:ascii="宋体" w:hAnsi="宋体"/>
          <w:color w:val="000000"/>
          <w:sz w:val="24"/>
        </w:rPr>
        <w:t>分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2、商务部分：20分</w:t>
      </w:r>
    </w:p>
    <w:p>
      <w:pPr>
        <w:spacing w:line="36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（1）投标报价：20分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评分分值计算保留小数点后两位，第三位四舍五入。每个</w:t>
      </w:r>
      <w:r>
        <w:rPr>
          <w:rFonts w:hint="eastAsia" w:ascii="宋体" w:hAnsi="宋体"/>
          <w:color w:val="000000"/>
          <w:sz w:val="24"/>
          <w:lang w:eastAsia="zh-CN"/>
        </w:rPr>
        <w:t>参与人</w:t>
      </w:r>
      <w:r>
        <w:rPr>
          <w:rFonts w:hint="eastAsia" w:ascii="宋体" w:hAnsi="宋体"/>
          <w:color w:val="000000"/>
          <w:sz w:val="24"/>
        </w:rPr>
        <w:t>的得分为其商务部分和技术部分得分的总和。</w:t>
      </w:r>
    </w:p>
    <w:p>
      <w:pPr>
        <w:pStyle w:val="2"/>
        <w:spacing w:before="0" w:after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(二) 技术部分评分标准（共</w:t>
      </w:r>
      <w:r>
        <w:rPr>
          <w:rFonts w:ascii="宋体" w:hAnsi="宋体"/>
          <w:color w:val="000000"/>
          <w:sz w:val="28"/>
          <w:szCs w:val="28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0分）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315"/>
        <w:gridCol w:w="796"/>
        <w:gridCol w:w="340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·</w:t>
            </w:r>
          </w:p>
        </w:tc>
        <w:tc>
          <w:tcPr>
            <w:tcW w:w="3315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</w:tc>
        <w:tc>
          <w:tcPr>
            <w:tcW w:w="796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标准分</w:t>
            </w:r>
          </w:p>
        </w:tc>
        <w:tc>
          <w:tcPr>
            <w:tcW w:w="340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评分标准</w:t>
            </w: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315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企业实力及相关业绩</w:t>
            </w:r>
          </w:p>
        </w:tc>
        <w:tc>
          <w:tcPr>
            <w:tcW w:w="796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  <w:tc>
          <w:tcPr>
            <w:tcW w:w="340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企业实力 （10分）</w:t>
            </w:r>
          </w:p>
          <w:p>
            <w:pPr>
              <w:widowControl/>
              <w:tabs>
                <w:tab w:val="left" w:pos="0"/>
                <w:tab w:val="left" w:pos="72"/>
              </w:tabs>
              <w:ind w:left="397" w:hanging="39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 w:cs="宋体"/>
                <w:kern w:val="0"/>
                <w:sz w:val="24"/>
              </w:rPr>
              <w:t>人的综合实力，考虑企业设计规模、投标人财务状况等（0-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分）；</w:t>
            </w:r>
          </w:p>
          <w:p>
            <w:pPr>
              <w:widowControl/>
              <w:tabs>
                <w:tab w:val="left" w:pos="0"/>
              </w:tabs>
              <w:spacing w:line="300" w:lineRule="auto"/>
              <w:ind w:left="397" w:hanging="39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 w:cs="宋体"/>
                <w:kern w:val="0"/>
                <w:sz w:val="24"/>
              </w:rPr>
              <w:t>人的相关资质水平、资质种类、人员构成、技术认证（0-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分）。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设计业绩经验 （10分）</w:t>
            </w:r>
          </w:p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cs="宋体"/>
                <w:kern w:val="0"/>
                <w:sz w:val="24"/>
              </w:rPr>
              <w:t>人类似或复杂于本项目的业绩经验，有1个超过</w:t>
            </w:r>
            <w:r>
              <w:rPr>
                <w:rFonts w:ascii="宋体" w:hAnsi="宋体" w:cs="Verdana"/>
                <w:sz w:val="24"/>
              </w:rPr>
              <w:t>5</w:t>
            </w:r>
            <w:r>
              <w:rPr>
                <w:rFonts w:hint="eastAsia" w:ascii="宋体" w:hAnsi="宋体" w:cs="Verdana"/>
                <w:sz w:val="24"/>
              </w:rPr>
              <w:t>万平米以上的符合要求的项目得4分，</w:t>
            </w:r>
            <w:r>
              <w:rPr>
                <w:rFonts w:hint="eastAsia" w:cs="宋体"/>
                <w:kern w:val="0"/>
                <w:sz w:val="24"/>
              </w:rPr>
              <w:t>有1个超过</w:t>
            </w:r>
            <w:r>
              <w:rPr>
                <w:rFonts w:ascii="宋体" w:hAnsi="宋体" w:cs="Verdana"/>
                <w:sz w:val="24"/>
              </w:rPr>
              <w:t>2</w:t>
            </w:r>
            <w:r>
              <w:rPr>
                <w:rFonts w:hint="eastAsia" w:ascii="宋体" w:hAnsi="宋体" w:cs="Verdana"/>
                <w:sz w:val="24"/>
              </w:rPr>
              <w:t>万平米以上的符合要求的项目得</w:t>
            </w:r>
            <w:r>
              <w:rPr>
                <w:rFonts w:ascii="宋体" w:hAnsi="宋体" w:cs="Verdana"/>
                <w:sz w:val="24"/>
              </w:rPr>
              <w:t>2</w:t>
            </w:r>
            <w:r>
              <w:rPr>
                <w:rFonts w:hint="eastAsia" w:ascii="宋体" w:hAnsi="宋体" w:cs="Verdana"/>
                <w:sz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</w:rPr>
              <w:t>（0-10分）。</w:t>
            </w: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315" w:type="dxa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项目团队及技术方案</w:t>
            </w:r>
          </w:p>
        </w:tc>
        <w:tc>
          <w:tcPr>
            <w:tcW w:w="796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3402" w:type="dxa"/>
          </w:tcPr>
          <w:p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项目团队（10分）</w:t>
            </w:r>
          </w:p>
          <w:p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考虑项目团队的组成及人员职责分配情况，专业人员的技术水平状况等，有1个注册电气工程师证书加4分，有1个中级职称证书加2分（0-10分）</w:t>
            </w:r>
          </w:p>
          <w:p>
            <w:pPr>
              <w:spacing w:line="276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技术方案（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分）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满足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文件设计任务书需求（0-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分）；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技术方案完整程度（0-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分）。</w:t>
            </w: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3315" w:type="dxa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/>
                <w:color w:val="000000"/>
                <w:sz w:val="24"/>
              </w:rPr>
              <w:t>人服务承诺</w:t>
            </w:r>
          </w:p>
        </w:tc>
        <w:tc>
          <w:tcPr>
            <w:tcW w:w="796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  <w:tc>
          <w:tcPr>
            <w:tcW w:w="3402" w:type="dxa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 w:hAnsi="宋体" w:cs="宋体"/>
                <w:kern w:val="0"/>
                <w:sz w:val="24"/>
              </w:rPr>
              <w:t>人的服务及作出相应的承诺等（0-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分）。</w:t>
            </w: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3315" w:type="dxa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项目负责人资料</w:t>
            </w:r>
          </w:p>
        </w:tc>
        <w:tc>
          <w:tcPr>
            <w:tcW w:w="796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3402" w:type="dxa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职称证书、注册工程师证书等</w:t>
            </w:r>
            <w:r>
              <w:rPr>
                <w:rFonts w:hint="eastAsia" w:ascii="宋体" w:hAnsi="宋体" w:cs="宋体"/>
                <w:kern w:val="0"/>
                <w:sz w:val="24"/>
              </w:rPr>
              <w:t>（0-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分）。</w:t>
            </w: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0" w:type="dxa"/>
            <w:gridSpan w:val="2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得分总计</w:t>
            </w:r>
          </w:p>
        </w:tc>
        <w:tc>
          <w:tcPr>
            <w:tcW w:w="796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  <w:tc>
          <w:tcPr>
            <w:tcW w:w="3402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/>
    <w:p>
      <w:pPr>
        <w:pStyle w:val="2"/>
        <w:spacing w:before="0" w:after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(三) 商务部分评分标准（共20分）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1、报价评分标准（共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>分）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）确定有效报价</w:t>
      </w:r>
    </w:p>
    <w:p>
      <w:pPr>
        <w:spacing w:line="360" w:lineRule="auto"/>
        <w:ind w:left="945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评标委员会对</w:t>
      </w:r>
      <w:r>
        <w:rPr>
          <w:rFonts w:hint="eastAsia" w:ascii="宋体" w:hAnsi="宋体"/>
          <w:color w:val="000000"/>
          <w:sz w:val="24"/>
          <w:lang w:eastAsia="zh-CN"/>
        </w:rPr>
        <w:t>参与</w:t>
      </w:r>
      <w:r>
        <w:rPr>
          <w:rFonts w:hint="eastAsia" w:ascii="宋体" w:hAnsi="宋体"/>
          <w:color w:val="000000"/>
          <w:sz w:val="24"/>
        </w:rPr>
        <w:t>人的报价进行分析，以确认报价是否实质响应了</w:t>
      </w:r>
      <w:r>
        <w:rPr>
          <w:rFonts w:hint="eastAsia" w:ascii="宋体" w:hAnsi="宋体"/>
          <w:color w:val="000000"/>
          <w:sz w:val="24"/>
          <w:lang w:eastAsia="zh-CN"/>
        </w:rPr>
        <w:t>谈判</w:t>
      </w:r>
      <w:r>
        <w:rPr>
          <w:rFonts w:hint="eastAsia" w:ascii="宋体" w:hAnsi="宋体"/>
          <w:color w:val="000000"/>
          <w:sz w:val="24"/>
        </w:rPr>
        <w:t>文件规定的发包范围。凡评标委员会确认其报价实质响应了</w:t>
      </w:r>
      <w:r>
        <w:rPr>
          <w:rFonts w:hint="eastAsia" w:ascii="宋体" w:hAnsi="宋体"/>
          <w:color w:val="000000"/>
          <w:sz w:val="24"/>
          <w:lang w:eastAsia="zh-CN"/>
        </w:rPr>
        <w:t>谈判</w:t>
      </w:r>
      <w:r>
        <w:rPr>
          <w:rFonts w:hint="eastAsia" w:ascii="宋体" w:hAnsi="宋体"/>
          <w:color w:val="000000"/>
          <w:sz w:val="24"/>
        </w:rPr>
        <w:t>文件的报价为有效报价。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）计算</w:t>
      </w:r>
      <w:r>
        <w:rPr>
          <w:rFonts w:ascii="宋体" w:hAnsi="宋体"/>
          <w:color w:val="000000"/>
          <w:sz w:val="24"/>
        </w:rPr>
        <w:t>公式</w:t>
      </w:r>
    </w:p>
    <w:p>
      <w:pPr>
        <w:spacing w:line="360" w:lineRule="auto"/>
        <w:ind w:left="945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经济部分的满分为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>分，并将按以下标准进行评分满足</w:t>
      </w:r>
      <w:r>
        <w:rPr>
          <w:rFonts w:hint="eastAsia" w:ascii="宋体" w:hAnsi="宋体"/>
          <w:color w:val="000000"/>
          <w:sz w:val="24"/>
          <w:lang w:eastAsia="zh-CN"/>
        </w:rPr>
        <w:t>谈判</w:t>
      </w:r>
      <w:r>
        <w:rPr>
          <w:rFonts w:hint="eastAsia" w:ascii="宋体" w:hAnsi="宋体"/>
          <w:color w:val="000000"/>
          <w:sz w:val="24"/>
        </w:rPr>
        <w:t>文件要求且投标价格最低的投标报价为评标基准价，其价格分为满分。其他</w:t>
      </w:r>
      <w:r>
        <w:rPr>
          <w:rFonts w:hint="eastAsia" w:ascii="宋体" w:hAnsi="宋体"/>
          <w:color w:val="000000"/>
          <w:sz w:val="24"/>
          <w:lang w:eastAsia="zh-CN"/>
        </w:rPr>
        <w:t>参与</w:t>
      </w:r>
      <w:r>
        <w:rPr>
          <w:rFonts w:hint="eastAsia" w:ascii="宋体" w:hAnsi="宋体"/>
          <w:color w:val="000000"/>
          <w:sz w:val="24"/>
        </w:rPr>
        <w:t>人的价格分统一按照下列公式计算：价格分=（评标基准价／报价）×</w:t>
      </w:r>
      <w:r>
        <w:rPr>
          <w:rFonts w:ascii="宋体" w:hAnsi="宋体"/>
          <w:color w:val="000000"/>
          <w:sz w:val="24"/>
        </w:rPr>
        <w:t>20</w:t>
      </w:r>
    </w:p>
    <w:p>
      <w:pPr>
        <w:spacing w:line="360" w:lineRule="auto"/>
        <w:ind w:left="945"/>
        <w:rPr>
          <w:rFonts w:ascii="宋体" w:hAnsi="宋体"/>
          <w:color w:val="000000"/>
          <w:sz w:val="24"/>
        </w:rPr>
      </w:pPr>
    </w:p>
    <w:p>
      <w:pPr>
        <w:pStyle w:val="2"/>
        <w:spacing w:before="0" w:after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(四)评分汇总表</w:t>
      </w:r>
    </w:p>
    <w:p>
      <w:pPr>
        <w:spacing w:line="360" w:lineRule="auto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</w:t>
      </w:r>
      <w:r>
        <w:rPr>
          <w:rFonts w:hint="eastAsia" w:ascii="宋体" w:hAnsi="宋体"/>
          <w:color w:val="000000"/>
          <w:lang w:eastAsia="zh-CN"/>
        </w:rPr>
        <w:t>参与</w:t>
      </w:r>
      <w:r>
        <w:rPr>
          <w:rFonts w:hint="eastAsia" w:ascii="宋体" w:hAnsi="宋体"/>
          <w:color w:val="000000"/>
        </w:rPr>
        <w:t>人得分汇总表</w:t>
      </w:r>
    </w:p>
    <w:tbl>
      <w:tblPr>
        <w:tblStyle w:val="6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06"/>
        <w:gridCol w:w="2405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技术部分得分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报价得分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405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405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405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405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405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2、评标汇总表</w:t>
      </w:r>
    </w:p>
    <w:tbl>
      <w:tblPr>
        <w:tblStyle w:val="6"/>
        <w:tblW w:w="8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979"/>
        <w:gridCol w:w="979"/>
        <w:gridCol w:w="979"/>
        <w:gridCol w:w="979"/>
        <w:gridCol w:w="979"/>
        <w:gridCol w:w="979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78" w:type="dxa"/>
            <w:tcBorders>
              <w:bottom w:val="single" w:color="auto" w:sz="4" w:space="0"/>
              <w:tl2br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评委</w:t>
            </w:r>
          </w:p>
          <w:p>
            <w:pPr>
              <w:pStyle w:val="5"/>
              <w:spacing w:line="360" w:lineRule="auto"/>
              <w:ind w:left="0" w:leftChars="0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参与人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合计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36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评委签字：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268E1"/>
    <w:multiLevelType w:val="multilevel"/>
    <w:tmpl w:val="6A7268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B6"/>
    <w:rsid w:val="00434AB6"/>
    <w:rsid w:val="004705C1"/>
    <w:rsid w:val="0050514E"/>
    <w:rsid w:val="0069035E"/>
    <w:rsid w:val="009934A0"/>
    <w:rsid w:val="00A44C5D"/>
    <w:rsid w:val="00B90C3A"/>
    <w:rsid w:val="00C46338"/>
    <w:rsid w:val="00D43AF6"/>
    <w:rsid w:val="00E06CC0"/>
    <w:rsid w:val="222C4503"/>
    <w:rsid w:val="490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customStyle="1" w:styleId="8">
    <w:name w:val="Plain Text1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  <w:szCs w:val="20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</Words>
  <Characters>1162</Characters>
  <Lines>9</Lines>
  <Paragraphs>2</Paragraphs>
  <TotalTime>2</TotalTime>
  <ScaleCrop>false</ScaleCrop>
  <LinksUpToDate>false</LinksUpToDate>
  <CharactersWithSpaces>1363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2020-07-06T07:19:00Z</dcterms:created>
  <dc:creator>user</dc:creator>
  <cp:lastModifiedBy>武盼</cp:lastModifiedBy>
  <dcterms:modified xsi:type="dcterms:W3CDTF">2020-07-10T00:31:00Z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